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7467" w14:textId="76ABD209" w:rsidR="003615EA" w:rsidRPr="003615EA" w:rsidRDefault="003615EA" w:rsidP="003615EA">
      <w:pPr>
        <w:spacing w:line="240" w:lineRule="auto"/>
        <w:jc w:val="center"/>
        <w:rPr>
          <w:rFonts w:ascii="Times New Roman" w:hAnsi="Times New Roman" w:cs="Times New Roman"/>
          <w:b/>
          <w:bCs/>
          <w:sz w:val="28"/>
          <w:szCs w:val="28"/>
        </w:rPr>
      </w:pPr>
      <w:r w:rsidRPr="003615EA">
        <w:rPr>
          <w:rFonts w:ascii="Times New Roman" w:hAnsi="Times New Roman" w:cs="Times New Roman"/>
          <w:b/>
          <w:bCs/>
          <w:sz w:val="28"/>
          <w:szCs w:val="28"/>
        </w:rPr>
        <w:t>PHỤ LỤC</w:t>
      </w:r>
    </w:p>
    <w:p w14:paraId="7646C049" w14:textId="2E0A4A9F" w:rsidR="003615EA" w:rsidRPr="003615EA" w:rsidRDefault="003615EA" w:rsidP="003615EA">
      <w:pPr>
        <w:spacing w:line="240" w:lineRule="auto"/>
        <w:rPr>
          <w:rFonts w:ascii="Times New Roman" w:hAnsi="Times New Roman" w:cs="Times New Roman"/>
          <w:b/>
          <w:bCs/>
          <w:sz w:val="28"/>
          <w:szCs w:val="28"/>
        </w:rPr>
      </w:pPr>
      <w:r w:rsidRPr="003615EA">
        <w:rPr>
          <w:rFonts w:ascii="Times New Roman" w:hAnsi="Times New Roman" w:cs="Times New Roman"/>
          <w:b/>
          <w:bCs/>
          <w:sz w:val="28"/>
          <w:szCs w:val="28"/>
        </w:rPr>
        <w:t>III. Điều 10 Nghị định 316/2025/NĐ-CP</w:t>
      </w:r>
      <w:bookmarkStart w:id="0" w:name="_Toc195351606"/>
      <w:bookmarkStart w:id="1" w:name="_Toc203552209"/>
      <w:bookmarkStart w:id="2" w:name="_Ref205298377"/>
      <w:bookmarkStart w:id="3" w:name="_Ref205298438"/>
      <w:bookmarkStart w:id="4" w:name="_Ref206141132"/>
      <w:bookmarkStart w:id="5" w:name="_Ref206408073"/>
      <w:bookmarkStart w:id="6" w:name="_Ref206408384"/>
      <w:bookmarkStart w:id="7" w:name="_Ref206408463"/>
      <w:bookmarkStart w:id="8" w:name="_Ref206408533"/>
      <w:bookmarkStart w:id="9" w:name="_Toc210983160"/>
    </w:p>
    <w:bookmarkEnd w:id="0"/>
    <w:bookmarkEnd w:id="1"/>
    <w:bookmarkEnd w:id="2"/>
    <w:bookmarkEnd w:id="3"/>
    <w:bookmarkEnd w:id="4"/>
    <w:bookmarkEnd w:id="5"/>
    <w:bookmarkEnd w:id="6"/>
    <w:bookmarkEnd w:id="7"/>
    <w:bookmarkEnd w:id="8"/>
    <w:bookmarkEnd w:id="9"/>
    <w:p w14:paraId="134BAD5A" w14:textId="77777777" w:rsidR="003615EA" w:rsidRPr="003615EA" w:rsidRDefault="003615EA" w:rsidP="003615EA">
      <w:pPr>
        <w:spacing w:line="240" w:lineRule="auto"/>
        <w:rPr>
          <w:rFonts w:ascii="Times New Roman" w:hAnsi="Times New Roman" w:cs="Times New Roman"/>
          <w:sz w:val="28"/>
          <w:szCs w:val="28"/>
          <w:lang w:val="vi-VN"/>
        </w:rPr>
      </w:pPr>
      <w:r w:rsidRPr="003615EA">
        <w:rPr>
          <w:rFonts w:ascii="Times New Roman" w:hAnsi="Times New Roman" w:cs="Times New Roman"/>
          <w:sz w:val="28"/>
          <w:szCs w:val="28"/>
          <w:lang w:val="vi-VN"/>
        </w:rPr>
        <w:t>1. Chủ đầu tư, tổ chức vận hành có trách nhiệm thiết lập, áp dụng, duy trì và cải tiến liên tục hệ thống quản lý chất lượng nhằm nâng cao hiệu quả công tác bảo đảm an toàn bức xạ, an toàn hạt nhân và an ninh hạt nhân. Chính sách an toàn phải được lập thành văn bản, thể hiện cam kết của tổ chức trong việc đặt an toàn là ưu tiên hàng đầu, được phổ biến rộng rãi tới nhân viên và các bên liên quan, được định kỳ rà soát, cập nhật để bảo đảm tính hiệu lực, hiệu quả và phù hợp với thực tiễn.</w:t>
      </w:r>
    </w:p>
    <w:p w14:paraId="594620D9"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2. Hệ thống quản lý chất lượng phải đáp ứng các yêu cầu sau đây:</w:t>
      </w:r>
    </w:p>
    <w:p w14:paraId="726705C9"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3. Hệ thống quản lý chất lượng có mức độ chi tiết phù hợp cho từng giai đoạn và gồm các nội dung có liên quan sau đây:</w:t>
      </w:r>
    </w:p>
    <w:p w14:paraId="7555F1DE"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a) Trách nhiệm của người đứng đầu và ban lãnh đạo;</w:t>
      </w:r>
    </w:p>
    <w:p w14:paraId="7D2CC99B"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b) Mục tiêu, chiến lược, kế hoạch và chỉ tiêu;</w:t>
      </w:r>
    </w:p>
    <w:p w14:paraId="3A3F382B"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c) Tương tác với các bên liên quan;</w:t>
      </w:r>
    </w:p>
    <w:p w14:paraId="265AA303"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d) Tích hợp hệ thống quản lý;</w:t>
      </w:r>
    </w:p>
    <w:p w14:paraId="7E2C7850"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đ) Áp dụng phương pháp tiếp cận theo cấp độ;</w:t>
      </w:r>
    </w:p>
    <w:p w14:paraId="0B10872F"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e) Tài liệu hóa hệ thống quản lý;</w:t>
      </w:r>
    </w:p>
    <w:p w14:paraId="141EBBC4"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g) Cung cấp nguồn lực, quản lý nhân viên;</w:t>
      </w:r>
    </w:p>
    <w:p w14:paraId="7A160FB0"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h) Quản lý các quy trình, hoạt động và sự thay đổi;</w:t>
      </w:r>
    </w:p>
    <w:p w14:paraId="3B64C9B3"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i) Quản lý nhà thầu và chuỗi cung ứng;</w:t>
      </w:r>
    </w:p>
    <w:p w14:paraId="249AAE1F"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k) Thúc đẩy và duy trì văn hóa an toàn;</w:t>
      </w:r>
    </w:p>
    <w:p w14:paraId="5D16A9C9"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l) Đo lường, đánh giá định kỳ và cải tiến hệ thống quản lý;</w:t>
      </w:r>
    </w:p>
    <w:p w14:paraId="497C6BA5" w14:textId="77777777" w:rsidR="003615EA" w:rsidRPr="003615EA" w:rsidRDefault="003615EA" w:rsidP="003615EA">
      <w:pPr>
        <w:suppressAutoHyphens/>
        <w:spacing w:line="240" w:lineRule="auto"/>
        <w:textAlignment w:val="top"/>
        <w:rPr>
          <w:rFonts w:ascii="Times New Roman" w:hAnsi="Times New Roman" w:cs="Times New Roman"/>
          <w:sz w:val="28"/>
          <w:szCs w:val="28"/>
          <w:lang w:val="vi-VN"/>
        </w:rPr>
      </w:pPr>
      <w:r w:rsidRPr="003615EA">
        <w:rPr>
          <w:rFonts w:ascii="Times New Roman" w:hAnsi="Times New Roman" w:cs="Times New Roman"/>
          <w:sz w:val="28"/>
          <w:szCs w:val="28"/>
          <w:lang w:val="vi-VN"/>
        </w:rPr>
        <w:t>m) Kiểm soát nội bộ, đánh giá độc lập từ bên ngoài và quản lý sự không phù hợp.</w:t>
      </w:r>
    </w:p>
    <w:p w14:paraId="453A7ACC"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lang w:val="vi-VN"/>
        </w:rPr>
        <w:t xml:space="preserve">4. Bộ trưởng Bộ Khoa học và Công nghệ quy định chi tiết về hệ thống quản lý chất lượng đối với </w:t>
      </w:r>
      <w:r w:rsidRPr="003615EA">
        <w:rPr>
          <w:rFonts w:ascii="Times New Roman" w:hAnsi="Times New Roman" w:cs="Times New Roman"/>
          <w:bCs/>
          <w:sz w:val="28"/>
          <w:szCs w:val="28"/>
          <w:lang w:val="vi-VN"/>
        </w:rPr>
        <w:t>khảo sát, đánh giá địa điểm, thiết kế, xây dựng, vận hành thử, vận hành và chấm dứt hoạt động</w:t>
      </w:r>
      <w:r w:rsidRPr="003615EA">
        <w:rPr>
          <w:rFonts w:ascii="Times New Roman" w:hAnsi="Times New Roman" w:cs="Times New Roman"/>
          <w:sz w:val="28"/>
          <w:szCs w:val="28"/>
          <w:lang w:val="vi-VN"/>
        </w:rPr>
        <w:t xml:space="preserve"> nhà máy điện hạt nhân, lò phản ứng hạt nhân nghiên cứu.</w:t>
      </w:r>
      <w:r w:rsidRPr="003615EA">
        <w:rPr>
          <w:rFonts w:ascii="Times New Roman" w:hAnsi="Times New Roman" w:cs="Times New Roman"/>
          <w:sz w:val="28"/>
          <w:szCs w:val="28"/>
          <w:vertAlign w:val="superscript"/>
          <w:lang w:val="vi-VN"/>
        </w:rPr>
        <w:t xml:space="preserve"> </w:t>
      </w:r>
      <w:r w:rsidRPr="003615EA">
        <w:rPr>
          <w:rFonts w:ascii="Times New Roman" w:hAnsi="Times New Roman" w:cs="Times New Roman"/>
          <w:sz w:val="28"/>
          <w:szCs w:val="28"/>
        </w:rPr>
        <w:t>(Nội dung liên quan đến yêu cầu về hệ thống quản lý chất lượng đối với khảo sát, đánh giá địa điểm nhà máy điện hạt nhân được quy định chi tiết hóa tại Mục 2 (gồm Điều 136 và Điều 137</w:t>
      </w:r>
      <w:proofErr w:type="gramStart"/>
      <w:r w:rsidRPr="003615EA">
        <w:rPr>
          <w:rFonts w:ascii="Times New Roman" w:hAnsi="Times New Roman" w:cs="Times New Roman"/>
          <w:sz w:val="28"/>
          <w:szCs w:val="28"/>
        </w:rPr>
        <w:t>)  Chương</w:t>
      </w:r>
      <w:proofErr w:type="gramEnd"/>
      <w:r w:rsidRPr="003615EA">
        <w:rPr>
          <w:rFonts w:ascii="Times New Roman" w:hAnsi="Times New Roman" w:cs="Times New Roman"/>
          <w:sz w:val="28"/>
          <w:szCs w:val="28"/>
        </w:rPr>
        <w:t xml:space="preserve"> VI Thông tư số 07/2026/TT-BKHCN). Cụ thể:</w:t>
      </w:r>
    </w:p>
    <w:p w14:paraId="6F85C67D"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bookmarkStart w:id="10" w:name="dieu_136"/>
      <w:r w:rsidRPr="003615EA">
        <w:rPr>
          <w:rFonts w:ascii="Times New Roman" w:hAnsi="Times New Roman" w:cs="Times New Roman"/>
          <w:b/>
          <w:bCs/>
          <w:sz w:val="28"/>
          <w:szCs w:val="28"/>
        </w:rPr>
        <w:t>Điều 136 Thông tư số 07/2026/TT-BKHCN quy định: Yêu cầu về hệ thống quản lý chất lượng đối với hoạt động khảo sát, đánh giá địa điểm nhà máy điện hạt nhân</w:t>
      </w:r>
      <w:bookmarkEnd w:id="10"/>
    </w:p>
    <w:p w14:paraId="7A1C9634"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lastRenderedPageBreak/>
        <w:t>1. Tổ chức thực hiện khảo sát và đánh giá địa điểm nhà máy điện hạt nhân phải xây dựng và triển khai hệ thống quản lý chất lượng tuân thủ các yêu cầu quy định tại Mục 1 Chương VI của Thông tư 60/2025/TT-BKHCN, các yêu cầu an toàn đối với khảo sát, đánh giá địa điểm nhà máy điện hạt nhân theo quy định của pháp luật về năng lượng nguyên tử và quy định khác của pháp luật có liên quan; đồng thời áp dụng phù hợp các hướng dẫn quốc tế có liên quan về hệ thống quản lý chất lượng hoặc các yêu cầu, hướng dẫn về hệ thống quản lý chất lượng của nước cung cấp công nghệ trong quá trình cụ thể hóa các yêu cầu đối với hệ thống quản lý chất lượng.</w:t>
      </w:r>
    </w:p>
    <w:p w14:paraId="35BB3F34"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2. Hệ thống quản lý chất lượng phải bảo đảm việc thu thập, phân tích, kiểm chứng và quản lý dữ liệu địa điểm được thực hiện một cách khách quan, nhất quán và có thể kiểm tra, nhằm bảo đảm tính đầy đủ và độ tin cậy của kết quả đánh giá địa điểm.</w:t>
      </w:r>
    </w:p>
    <w:p w14:paraId="6B748089"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3. Hệ thống quản lý chất lượng phải xem xét đầy đủ yêu cầu và hướng dẫn an toàn có liên quan đến khảo sát, đánh giá địa điểm nhà máy điện hạt nhân.</w:t>
      </w:r>
    </w:p>
    <w:p w14:paraId="6F73EF05"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bookmarkStart w:id="11" w:name="dieu_137"/>
      <w:r w:rsidRPr="003615EA">
        <w:rPr>
          <w:rFonts w:ascii="Times New Roman" w:hAnsi="Times New Roman" w:cs="Times New Roman"/>
          <w:b/>
          <w:bCs/>
          <w:sz w:val="28"/>
          <w:szCs w:val="28"/>
        </w:rPr>
        <w:t>Điều 137 Thông tư số 07/2026/TT-BKHCN quy định: Áp dụng phương pháp tiếp cận theo cấp độ</w:t>
      </w:r>
      <w:bookmarkEnd w:id="11"/>
    </w:p>
    <w:p w14:paraId="4DA57858"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Khi áp dụng phương pháp tiếp cận theo cấp độ trong hệ thống quản lý chất lượng đối với hoạt động khảo sát, đánh giá địa điểm, tổ chức phải xem xét:</w:t>
      </w:r>
    </w:p>
    <w:p w14:paraId="6006A69A"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1. Mục đích sử dụng cuối cùng của tri thức và dữ liệu thu được từ các hoạt động đánh giá địa điểm, đặc biệt là mức độ ảnh hưởng của tri thức và dữ liệu đó đối với an toàn.</w:t>
      </w:r>
    </w:p>
    <w:p w14:paraId="7A324B97"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2. Khả năng chứng minh, kiểm tra hoặc lặp lại các kết quả.</w:t>
      </w:r>
    </w:p>
    <w:p w14:paraId="768AE467"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3. Quy mô và mức độ phức tạp kỹ thuật của hoạt động khảo sát, đánh giá địa điểm, bao gồm việc sử dụng các mô hình mới hoặc mở rộng mô hình hiện có.</w:t>
      </w:r>
    </w:p>
    <w:p w14:paraId="496929B2"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4. Mức độ phức tạp về quản lý của hoạt động và mức độ tham gia cũng như sự phối hợp của nhiều chuyên ngành, đơn vị, tổ chức khác nhau và mức độ phụ thuộc lẫn nhau của các nhiệm vụ.</w:t>
      </w:r>
    </w:p>
    <w:p w14:paraId="62716941"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5. Mức độ phụ thuộc của các công việc ở giai đoạn tiếp theo vào kết quả của hoạt động đánh giá địa điểm.</w:t>
      </w:r>
    </w:p>
    <w:p w14:paraId="33DFC96A" w14:textId="77777777" w:rsidR="003615EA" w:rsidRPr="003615EA" w:rsidRDefault="003615EA" w:rsidP="003615EA">
      <w:pPr>
        <w:suppressAutoHyphens/>
        <w:spacing w:line="240" w:lineRule="auto"/>
        <w:textAlignment w:val="top"/>
        <w:rPr>
          <w:rFonts w:ascii="Times New Roman" w:hAnsi="Times New Roman" w:cs="Times New Roman"/>
          <w:sz w:val="28"/>
          <w:szCs w:val="28"/>
        </w:rPr>
      </w:pPr>
      <w:r w:rsidRPr="003615EA">
        <w:rPr>
          <w:rFonts w:ascii="Times New Roman" w:hAnsi="Times New Roman" w:cs="Times New Roman"/>
          <w:sz w:val="28"/>
          <w:szCs w:val="28"/>
        </w:rPr>
        <w:t xml:space="preserve">6. Yêu cầu và mục đích sử dụng kết quả. </w:t>
      </w:r>
    </w:p>
    <w:p w14:paraId="36193109" w14:textId="77777777" w:rsidR="003615EA" w:rsidRPr="003615EA" w:rsidRDefault="003615EA">
      <w:pPr>
        <w:rPr>
          <w:sz w:val="28"/>
          <w:szCs w:val="28"/>
        </w:rPr>
      </w:pPr>
    </w:p>
    <w:sectPr w:rsidR="003615EA" w:rsidRPr="003615EA" w:rsidSect="003615E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EA"/>
    <w:rsid w:val="003615EA"/>
    <w:rsid w:val="00BB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B2D2"/>
  <w15:chartTrackingRefBased/>
  <w15:docId w15:val="{56BE5DF3-32ED-437E-80C7-ED38E74B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EA"/>
    <w:pPr>
      <w:spacing w:before="120" w:after="120" w:line="312" w:lineRule="auto"/>
      <w:ind w:firstLine="720"/>
      <w:jc w:val="both"/>
    </w:pPr>
  </w:style>
  <w:style w:type="paragraph" w:styleId="Heading1">
    <w:name w:val="heading 1"/>
    <w:basedOn w:val="Normal"/>
    <w:next w:val="Normal"/>
    <w:link w:val="Heading1Char"/>
    <w:uiPriority w:val="9"/>
    <w:qFormat/>
    <w:rsid w:val="003615EA"/>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EA"/>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EA"/>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EA"/>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EA"/>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EA"/>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EA"/>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EA"/>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EA"/>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EA"/>
    <w:rPr>
      <w:rFonts w:eastAsiaTheme="majorEastAsia" w:cstheme="majorBidi"/>
      <w:color w:val="272727" w:themeColor="text1" w:themeTint="D8"/>
    </w:rPr>
  </w:style>
  <w:style w:type="paragraph" w:styleId="Title">
    <w:name w:val="Title"/>
    <w:basedOn w:val="Normal"/>
    <w:next w:val="Normal"/>
    <w:link w:val="TitleChar"/>
    <w:uiPriority w:val="10"/>
    <w:qFormat/>
    <w:rsid w:val="003615EA"/>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EA"/>
    <w:pPr>
      <w:numPr>
        <w:ilvl w:val="1"/>
      </w:numPr>
      <w:spacing w:before="0" w:after="160" w:line="278" w:lineRule="auto"/>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EA"/>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3615EA"/>
    <w:rPr>
      <w:i/>
      <w:iCs/>
      <w:color w:val="404040" w:themeColor="text1" w:themeTint="BF"/>
    </w:rPr>
  </w:style>
  <w:style w:type="paragraph" w:styleId="ListParagraph">
    <w:name w:val="List Paragraph"/>
    <w:basedOn w:val="Normal"/>
    <w:uiPriority w:val="34"/>
    <w:qFormat/>
    <w:rsid w:val="003615EA"/>
    <w:pPr>
      <w:spacing w:before="0" w:after="160" w:line="278" w:lineRule="auto"/>
      <w:ind w:left="720" w:firstLine="0"/>
      <w:contextualSpacing/>
      <w:jc w:val="left"/>
    </w:pPr>
  </w:style>
  <w:style w:type="character" w:styleId="IntenseEmphasis">
    <w:name w:val="Intense Emphasis"/>
    <w:basedOn w:val="DefaultParagraphFont"/>
    <w:uiPriority w:val="21"/>
    <w:qFormat/>
    <w:rsid w:val="003615EA"/>
    <w:rPr>
      <w:i/>
      <w:iCs/>
      <w:color w:val="0F4761" w:themeColor="accent1" w:themeShade="BF"/>
    </w:rPr>
  </w:style>
  <w:style w:type="paragraph" w:styleId="IntenseQuote">
    <w:name w:val="Intense Quote"/>
    <w:basedOn w:val="Normal"/>
    <w:next w:val="Normal"/>
    <w:link w:val="IntenseQuoteChar"/>
    <w:uiPriority w:val="30"/>
    <w:qFormat/>
    <w:rsid w:val="003615E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615EA"/>
    <w:rPr>
      <w:i/>
      <w:iCs/>
      <w:color w:val="0F4761" w:themeColor="accent1" w:themeShade="BF"/>
    </w:rPr>
  </w:style>
  <w:style w:type="character" w:styleId="IntenseReference">
    <w:name w:val="Intense Reference"/>
    <w:basedOn w:val="DefaultParagraphFont"/>
    <w:uiPriority w:val="32"/>
    <w:qFormat/>
    <w:rsid w:val="00361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2026-07-15T01:22:00Z</dcterms:created>
  <dcterms:modified xsi:type="dcterms:W3CDTF">2026-07-15T01:24:00Z</dcterms:modified>
</cp:coreProperties>
</file>