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9762" w14:textId="06EE61B6" w:rsidR="00F67844" w:rsidRPr="00C4457E" w:rsidRDefault="00E134C3" w:rsidP="00E134C3">
      <w:pPr>
        <w:spacing w:line="240" w:lineRule="auto"/>
        <w:rPr>
          <w:rFonts w:ascii="Times New Roman" w:hAnsi="Times New Roman" w:cs="Times New Roman"/>
          <w:b/>
          <w:bCs/>
          <w:sz w:val="28"/>
          <w:szCs w:val="28"/>
        </w:rPr>
      </w:pPr>
      <w:r w:rsidRPr="00C4457E">
        <w:rPr>
          <w:rFonts w:ascii="Times New Roman" w:hAnsi="Times New Roman" w:cs="Times New Roman"/>
          <w:b/>
          <w:bCs/>
          <w:sz w:val="28"/>
          <w:szCs w:val="28"/>
        </w:rPr>
        <w:t xml:space="preserve">                                                   </w:t>
      </w:r>
      <w:r w:rsidR="00F67844" w:rsidRPr="00C4457E">
        <w:rPr>
          <w:rFonts w:ascii="Times New Roman" w:hAnsi="Times New Roman" w:cs="Times New Roman"/>
          <w:b/>
          <w:bCs/>
          <w:sz w:val="28"/>
          <w:szCs w:val="28"/>
        </w:rPr>
        <w:t>PHỤ LỤC</w:t>
      </w:r>
    </w:p>
    <w:p w14:paraId="6C6E3B0B" w14:textId="77777777" w:rsidR="00C4457E" w:rsidRPr="00C4457E" w:rsidRDefault="00C4457E" w:rsidP="00C4457E">
      <w:pPr>
        <w:widowControl w:val="0"/>
        <w:spacing w:line="240" w:lineRule="auto"/>
        <w:ind w:firstLine="567"/>
        <w:rPr>
          <w:rFonts w:ascii="Times New Roman" w:hAnsi="Times New Roman" w:cs="Times New Roman"/>
          <w:b/>
          <w:bCs/>
          <w:sz w:val="28"/>
          <w:szCs w:val="28"/>
          <w:lang w:val="vi-VN"/>
        </w:rPr>
      </w:pPr>
      <w:r w:rsidRPr="00C4457E">
        <w:rPr>
          <w:rFonts w:ascii="Times New Roman" w:hAnsi="Times New Roman" w:cs="Times New Roman"/>
          <w:b/>
          <w:bCs/>
          <w:sz w:val="28"/>
          <w:szCs w:val="28"/>
        </w:rPr>
        <w:t>IV. Khoản 3 Điều 11 Nghị định 316/2025/NĐ-CP quy định K</w:t>
      </w:r>
      <w:r w:rsidRPr="00C4457E">
        <w:rPr>
          <w:rFonts w:ascii="Times New Roman" w:hAnsi="Times New Roman" w:cs="Times New Roman"/>
          <w:b/>
          <w:bCs/>
          <w:sz w:val="28"/>
          <w:szCs w:val="28"/>
          <w:lang w:val="vi-VN"/>
        </w:rPr>
        <w:t>ế hoạch bảo đảm an ninh được xây dựng dựa trên đánh giá các mối đe dọa về an ninh và bao gồm các nội dung sau:</w:t>
      </w:r>
      <w:r w:rsidRPr="00C4457E">
        <w:rPr>
          <w:rStyle w:val="FootnoteReference"/>
          <w:rFonts w:ascii="Times New Roman" w:hAnsi="Times New Roman" w:cs="Times New Roman"/>
          <w:b/>
          <w:bCs/>
          <w:sz w:val="28"/>
          <w:szCs w:val="28"/>
          <w:lang w:val="vi-VN"/>
        </w:rPr>
        <w:t xml:space="preserve"> </w:t>
      </w:r>
    </w:p>
    <w:p w14:paraId="5BDC0337"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a) Mô tả thông tin chung về vị trí cơ sở, môi trường xung quanh, loại và sơ đồ vị trí vật liệu hạt nhân, nguồn phóng xạ, chất thải phóng xạ, các cấu trúc, hệ thống và bộ phận quan trọng về an toàn, sơ đồ các khu vực bảo vệ thực thể, các tuyến tuần tra và trạm cảnh báo;</w:t>
      </w:r>
    </w:p>
    <w:p w14:paraId="22743650"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b) Cơ cấu tổ chức và vai trò, thẩm quyền và trách nhiệm của cá nhân, bộ phận liên quan đến bảo đảm an ninh;</w:t>
      </w:r>
    </w:p>
    <w:p w14:paraId="5F547307"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c) Mô tả mối đe dọa an ninh, xác định các nguy cơ xâm nhập trái phép, phá hoại, tấn công khủng bố;</w:t>
      </w:r>
    </w:p>
    <w:p w14:paraId="45CDB6D3"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d) Phân cấp các khu vực an ninh theo mức độ quan trọng và mức độ kiểm soát tiếp cận;</w:t>
      </w:r>
    </w:p>
    <w:p w14:paraId="7FEB89FA"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đ) Quy định về kiểm soát người, phương tiện ra vào, bao gồm nhận dạng, kiểm tra an ninh, giám sát hoạt động chương trình cấp giấy phép ra vào, kiểm tra và giám sát độ tin cậy nhân viên, các biện pháp ngăn ngừa nguy cơ nội gián;</w:t>
      </w:r>
    </w:p>
    <w:p w14:paraId="0A19270C"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e) Hệ thống bảo vệ thực thể, bao gồm tường rào, hệ thống giám sát điện tử, kiểm soát ra vào, lực lượng bảo vệ chuyên trách; các biện pháp kỹ thuật như rào chắn vật lý, thiết bị cảnh báo và đánh giá xâm nhập, hệ thống chiếu sáng, trạm cảnh báo trung tâm và trạm dự phòng hoạt động độc lập;</w:t>
      </w:r>
      <w:r w:rsidRPr="00C4457E">
        <w:rPr>
          <w:rStyle w:val="FootnoteReference"/>
          <w:rFonts w:ascii="Times New Roman" w:hAnsi="Times New Roman" w:cs="Times New Roman"/>
          <w:sz w:val="28"/>
          <w:szCs w:val="28"/>
          <w:lang w:val="vi-VN"/>
        </w:rPr>
        <w:t xml:space="preserve"> </w:t>
      </w:r>
    </w:p>
    <w:p w14:paraId="01FBA824"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g) Các biện pháp an ninh mạng, an ninh máy tính, bao gồm: phân loại hệ thống thông tin theo mức độ quan trọng, kiểm soát truy cập, phân vùng và cách ly mạng; xác định, bảo vệ hệ thống thông tin quan trọng có khả năng ảnh hưởng đến an toàn, an ninh hạt nhân; giám sát, phát hiện sự cố mạng theo thời gian thực, ứng phó kịp thời với các cuộc tấn công mạng; đào tạo định kỳ nhân sự về an ninh mạng, chống tấn công mạng dựa trên yếu tố con người và nguy cơ nội gián; kiểm tra an ninh phần mềm, phần cứng trong chuỗi cung ứng, ngăn ngừa rủi ro từ thiết bị, phần mềm bị xâm phạm; tích hợp an ninh mạng vào hệ thống bảo vệ thực thể để đối phó với tấn công kết hợp; định kỳ đánh giá, thử nghiệm xâm nhập, cải tiến biện pháp an ninh mạng;</w:t>
      </w:r>
    </w:p>
    <w:p w14:paraId="2E6E2A12"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h) Quy trình phối hợp với cơ quan công an, quân đội, lực lượng ứng phó khẩn cấp trong trường hợp có sự cố an ninh; thỏa thuận hỗ trợ, thông tin liên lạc và diễn tập chung với lực lượng bên ngoài;</w:t>
      </w:r>
    </w:p>
    <w:p w14:paraId="5350C8D6"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i) Hệ thống giám sát, cảnh báo sớm và xử lý các mối đe dọa về an ninh hạt nhân; hệ thống liên lạc trong và ngoài cơ sở, có biện pháp dự phòng để bảo đảm duy trì thông tin liên tục trong mọi tình huống;</w:t>
      </w:r>
    </w:p>
    <w:p w14:paraId="5D35917B"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lastRenderedPageBreak/>
        <w:t>k) Quy trình kiểm soát và bảo vệ vật liệu hạt nhân, nhiên liệu hạt nhân, chất thải phóng xạ trước các hành vi chiếm đoạt, chuyển giao bất hợp pháp;</w:t>
      </w:r>
    </w:p>
    <w:p w14:paraId="6B1B106B"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l) Kế hoạch diễn tập ứng phó sự cố an ninh, đào tạo định kỳ về bảo đảm an ninh cho nhân viên và lực lượng bảo vệ;</w:t>
      </w:r>
    </w:p>
    <w:p w14:paraId="0851D8ED" w14:textId="77777777" w:rsidR="00C4457E" w:rsidRPr="00C4457E" w:rsidRDefault="00C4457E" w:rsidP="00C4457E">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m) Kế hoạch bảo trì, bảo dưỡng và kiểm tra định kỳ hệ thống bảo vệ thực thể, chương trình đánh giá và cải tiến hiệu lực bảo đảm an ninh;</w:t>
      </w:r>
    </w:p>
    <w:p w14:paraId="46FBBFE8" w14:textId="77777777" w:rsidR="00C4457E" w:rsidRPr="00C4457E" w:rsidRDefault="00C4457E" w:rsidP="00C4457E">
      <w:pPr>
        <w:widowControl w:val="0"/>
        <w:spacing w:line="240" w:lineRule="auto"/>
        <w:ind w:firstLine="567"/>
        <w:rPr>
          <w:rFonts w:ascii="Times New Roman" w:hAnsi="Times New Roman" w:cs="Times New Roman"/>
          <w:sz w:val="28"/>
          <w:szCs w:val="28"/>
        </w:rPr>
      </w:pPr>
      <w:r w:rsidRPr="00C4457E">
        <w:rPr>
          <w:rFonts w:ascii="Times New Roman" w:hAnsi="Times New Roman" w:cs="Times New Roman"/>
          <w:sz w:val="28"/>
          <w:szCs w:val="28"/>
          <w:lang w:val="vi-VN"/>
        </w:rPr>
        <w:t>n) Chế độ hồ sơ, báo cáo và lưu giữ tài liệu về bảo đảm an ninh.</w:t>
      </w:r>
    </w:p>
    <w:p w14:paraId="67A06D2A" w14:textId="77777777" w:rsidR="00E134C3" w:rsidRPr="00C4457E" w:rsidRDefault="00E134C3" w:rsidP="00E134C3">
      <w:pPr>
        <w:widowControl w:val="0"/>
        <w:spacing w:line="240" w:lineRule="auto"/>
        <w:ind w:firstLine="567"/>
        <w:rPr>
          <w:rFonts w:ascii="Times New Roman" w:hAnsi="Times New Roman" w:cs="Times New Roman"/>
          <w:sz w:val="28"/>
          <w:szCs w:val="28"/>
          <w:lang w:val="vi-VN"/>
        </w:rPr>
      </w:pPr>
      <w:r w:rsidRPr="00C4457E">
        <w:rPr>
          <w:rFonts w:ascii="Times New Roman" w:hAnsi="Times New Roman" w:cs="Times New Roman"/>
          <w:sz w:val="28"/>
          <w:szCs w:val="28"/>
          <w:lang w:val="vi-VN"/>
        </w:rPr>
        <w:t>m) Kế hoạch bảo trì, bảo dưỡng và kiểm tra định kỳ hệ thống bảo vệ thực thể, chương trình đánh giá và cải tiến hiệu lực bảo đảm an ninh;</w:t>
      </w:r>
    </w:p>
    <w:p w14:paraId="1088BFE6" w14:textId="77777777" w:rsidR="00E134C3" w:rsidRPr="00C4457E" w:rsidRDefault="00E134C3" w:rsidP="00E134C3">
      <w:pPr>
        <w:widowControl w:val="0"/>
        <w:spacing w:line="240" w:lineRule="auto"/>
        <w:ind w:firstLine="567"/>
        <w:rPr>
          <w:rFonts w:ascii="Times New Roman" w:hAnsi="Times New Roman" w:cs="Times New Roman"/>
          <w:sz w:val="28"/>
          <w:szCs w:val="28"/>
        </w:rPr>
      </w:pPr>
      <w:r w:rsidRPr="00C4457E">
        <w:rPr>
          <w:rFonts w:ascii="Times New Roman" w:hAnsi="Times New Roman" w:cs="Times New Roman"/>
          <w:sz w:val="28"/>
          <w:szCs w:val="28"/>
          <w:lang w:val="vi-VN"/>
        </w:rPr>
        <w:t>n) Chế độ hồ sơ, báo cáo và lưu giữ tài liệu về bảo đảm an ninh.</w:t>
      </w:r>
    </w:p>
    <w:p w14:paraId="1FFBE35A" w14:textId="77777777" w:rsidR="00F67844" w:rsidRPr="00C4457E" w:rsidRDefault="00F67844" w:rsidP="00E134C3">
      <w:pPr>
        <w:suppressAutoHyphens/>
        <w:spacing w:line="240" w:lineRule="auto"/>
        <w:textAlignment w:val="top"/>
        <w:rPr>
          <w:sz w:val="28"/>
          <w:szCs w:val="28"/>
        </w:rPr>
      </w:pPr>
    </w:p>
    <w:sectPr w:rsidR="00F67844" w:rsidRPr="00C4457E" w:rsidSect="00F6784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44"/>
    <w:rsid w:val="002C4917"/>
    <w:rsid w:val="00602561"/>
    <w:rsid w:val="008608EE"/>
    <w:rsid w:val="00BB6ADB"/>
    <w:rsid w:val="00C4457E"/>
    <w:rsid w:val="00D056A6"/>
    <w:rsid w:val="00E134C3"/>
    <w:rsid w:val="00EF587E"/>
    <w:rsid w:val="00F67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DD6"/>
  <w15:chartTrackingRefBased/>
  <w15:docId w15:val="{317C7A29-4B22-4233-8FFA-6FD56A3A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44"/>
    <w:pPr>
      <w:spacing w:before="120" w:after="120" w:line="312" w:lineRule="auto"/>
      <w:ind w:firstLine="720"/>
      <w:jc w:val="both"/>
    </w:pPr>
  </w:style>
  <w:style w:type="paragraph" w:styleId="Heading1">
    <w:name w:val="heading 1"/>
    <w:basedOn w:val="Normal"/>
    <w:next w:val="Normal"/>
    <w:link w:val="Heading1Char"/>
    <w:uiPriority w:val="9"/>
    <w:qFormat/>
    <w:rsid w:val="00F67844"/>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844"/>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844"/>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844"/>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844"/>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844"/>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44"/>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44"/>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44"/>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44"/>
    <w:rPr>
      <w:rFonts w:eastAsiaTheme="majorEastAsia" w:cstheme="majorBidi"/>
      <w:color w:val="272727" w:themeColor="text1" w:themeTint="D8"/>
    </w:rPr>
  </w:style>
  <w:style w:type="paragraph" w:styleId="Title">
    <w:name w:val="Title"/>
    <w:basedOn w:val="Normal"/>
    <w:next w:val="Normal"/>
    <w:link w:val="TitleChar"/>
    <w:uiPriority w:val="10"/>
    <w:qFormat/>
    <w:rsid w:val="00F67844"/>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44"/>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44"/>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F67844"/>
    <w:rPr>
      <w:i/>
      <w:iCs/>
      <w:color w:val="404040" w:themeColor="text1" w:themeTint="BF"/>
    </w:rPr>
  </w:style>
  <w:style w:type="paragraph" w:styleId="ListParagraph">
    <w:name w:val="List Paragraph"/>
    <w:basedOn w:val="Normal"/>
    <w:uiPriority w:val="34"/>
    <w:qFormat/>
    <w:rsid w:val="00F67844"/>
    <w:pPr>
      <w:spacing w:before="0" w:after="160" w:line="278" w:lineRule="auto"/>
      <w:ind w:left="720" w:firstLine="0"/>
      <w:contextualSpacing/>
      <w:jc w:val="left"/>
    </w:pPr>
  </w:style>
  <w:style w:type="character" w:styleId="IntenseEmphasis">
    <w:name w:val="Intense Emphasis"/>
    <w:basedOn w:val="DefaultParagraphFont"/>
    <w:uiPriority w:val="21"/>
    <w:qFormat/>
    <w:rsid w:val="00F67844"/>
    <w:rPr>
      <w:i/>
      <w:iCs/>
      <w:color w:val="0F4761" w:themeColor="accent1" w:themeShade="BF"/>
    </w:rPr>
  </w:style>
  <w:style w:type="paragraph" w:styleId="IntenseQuote">
    <w:name w:val="Intense Quote"/>
    <w:basedOn w:val="Normal"/>
    <w:next w:val="Normal"/>
    <w:link w:val="IntenseQuoteChar"/>
    <w:uiPriority w:val="30"/>
    <w:qFormat/>
    <w:rsid w:val="00F6784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F67844"/>
    <w:rPr>
      <w:i/>
      <w:iCs/>
      <w:color w:val="0F4761" w:themeColor="accent1" w:themeShade="BF"/>
    </w:rPr>
  </w:style>
  <w:style w:type="character" w:styleId="IntenseReference">
    <w:name w:val="Intense Reference"/>
    <w:basedOn w:val="DefaultParagraphFont"/>
    <w:uiPriority w:val="32"/>
    <w:qFormat/>
    <w:rsid w:val="00F67844"/>
    <w:rPr>
      <w:b/>
      <w:bCs/>
      <w:smallCaps/>
      <w:color w:val="0F4761" w:themeColor="accent1" w:themeShade="BF"/>
      <w:spacing w:val="5"/>
    </w:rPr>
  </w:style>
  <w:style w:type="character" w:styleId="FootnoteReference">
    <w:name w:val="footnote reference"/>
    <w:basedOn w:val="DefaultParagraphFont"/>
    <w:uiPriority w:val="99"/>
    <w:unhideWhenUsed/>
    <w:rsid w:val="00F678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2026-07-17T01:59:00Z</dcterms:created>
  <dcterms:modified xsi:type="dcterms:W3CDTF">2026-07-17T01:59:00Z</dcterms:modified>
</cp:coreProperties>
</file>