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4"/>
          <w:szCs w:val="24"/>
        </w:rPr>
        <w:t xml:space="preserve"> </w:t>
      </w:r>
    </w:p>
    <w:p>
      <w:pPr>
        <w:spacing w:after="60" w:before="60"/>
      </w:pPr>
      <w:r>
        <w:rPr>
          <w:sz w:val="24"/>
          <w:szCs w:val="24"/>
        </w:rPr>
        <w:t xml:space="preserve"> </w:t>
      </w:r>
    </w:p>
    <w:p>
      <w:pPr>
        <w:spacing w:after="60" w:before="60"/>
        <w:jc w:val="center"/>
      </w:pPr>
      <w:r>
        <w:rPr>
          <w:rFonts w:ascii="Times New Roman" w:cs="Times New Roman" w:eastAsia="Times New Roman" w:hAnsi="Times New Roman"/>
          <w:b/>
          <w:bCs/>
          <w:color w:val="9B1212"/>
          <w:sz w:val="26"/>
          <w:szCs w:val="26"/>
        </w:rPr>
        <w:t xml:space="preserve">TRƯỜNG ĐẠI HỌC KINH TẾ</w:t>
      </w:r>
    </w:p>
    <w:p>
      <w:pPr>
        <w:spacing w:after="60" w:before="60"/>
        <w:jc w:val="center"/>
      </w:pPr>
      <w:r>
        <w:rPr>
          <w:rFonts w:ascii="Times New Roman" w:cs="Times New Roman" w:eastAsia="Times New Roman" w:hAnsi="Times New Roman"/>
          <w:b/>
          <w:bCs/>
          <w:color w:val="9B1212"/>
          <w:sz w:val="26"/>
          <w:szCs w:val="26"/>
        </w:rPr>
        <w:t xml:space="preserve">VIỆN QUẢN TRỊ KINH DOANH</w:t>
      </w:r>
    </w:p>
    <w:p>
      <w:pPr>
        <w:spacing w:after="60" w:before="60"/>
      </w:pPr>
      <w:r>
        <w:rPr>
          <w:sz w:val="24"/>
          <w:szCs w:val="24"/>
        </w:rPr>
        <w:t xml:space="preserve"> </w:t>
      </w:r>
    </w:p>
    <w:p>
      <w:pPr>
        <w:spacing w:after="60" w:before="60"/>
      </w:pPr>
      <w:r>
        <w:rPr>
          <w:sz w:val="24"/>
          <w:szCs w:val="24"/>
        </w:rPr>
        <w:t xml:space="preserve"> </w:t>
      </w:r>
    </w:p>
    <w:p>
      <w:pPr>
        <w:spacing w:after="60" w:before="60"/>
        <w:jc w:val="center"/>
      </w:pPr>
      <w:r>
        <w:rPr>
          <w:rFonts w:ascii="Times New Roman" w:cs="Times New Roman" w:eastAsia="Times New Roman" w:hAnsi="Times New Roman"/>
          <w:b/>
          <w:bCs/>
          <w:color w:val="000000"/>
          <w:sz w:val="30"/>
          <w:szCs w:val="30"/>
        </w:rPr>
        <w:t xml:space="preserve">BÁO CÁO BÀI TẬP CUỐI KÌ</w:t>
      </w:r>
    </w:p>
    <w:p>
      <w:pPr>
        <w:spacing w:after="60" w:before="60"/>
        <w:jc w:val="center"/>
      </w:pPr>
      <w:r>
        <w:rPr>
          <w:rFonts w:ascii="Times New Roman" w:cs="Times New Roman" w:eastAsia="Times New Roman" w:hAnsi="Times New Roman"/>
          <w:b/>
          <w:bCs/>
          <w:color w:val="000000"/>
          <w:sz w:val="28"/>
          <w:szCs w:val="28"/>
        </w:rPr>
        <w:t xml:space="preserve">MÔN: CÁC MÔ HÌNH RA QUYẾT ĐỊNH</w:t>
      </w:r>
    </w:p>
    <w:p>
      <w:pPr>
        <w:spacing w:after="60" w:before="60"/>
      </w:pPr>
      <w:r>
        <w:rPr>
          <w:sz w:val="24"/>
          <w:szCs w:val="24"/>
        </w:rPr>
        <w:t xml:space="preserve"> </w:t>
      </w:r>
    </w:p>
    <w:p>
      <w:pPr>
        <w:pBdr>
          <w:bottom w:val="single" w:color="9B1212" w:sz="6" w:space="1"/>
        </w:pBdr>
        <w:spacing w:after="0" w:before="0"/>
      </w:pPr>
      <w:r>
        <w:rPr>
          <w:sz w:val="24"/>
          <w:szCs w:val="24"/>
        </w:rPr>
        <w:t xml:space="preserve"> </w:t>
      </w:r>
    </w:p>
    <w:p>
      <w:pPr>
        <w:spacing w:after="60" w:before="60"/>
      </w:pPr>
      <w:r>
        <w:rPr>
          <w:sz w:val="24"/>
          <w:szCs w:val="24"/>
        </w:rPr>
        <w:t xml:space="preserve"> </w:t>
      </w:r>
    </w:p>
    <w:p>
      <w:pPr>
        <w:spacing w:after="60" w:before="60"/>
        <w:jc w:val="center"/>
      </w:pPr>
      <w:r>
        <w:rPr>
          <w:rFonts w:ascii="Times New Roman" w:cs="Times New Roman" w:eastAsia="Times New Roman" w:hAnsi="Times New Roman"/>
          <w:b/>
          <w:bCs/>
          <w:color w:val="9B1212"/>
          <w:sz w:val="40"/>
          <w:szCs w:val="40"/>
        </w:rPr>
        <w:t xml:space="preserve">AIDEOM-VN</w:t>
      </w:r>
    </w:p>
    <w:p>
      <w:pPr>
        <w:spacing w:after="60" w:before="60"/>
        <w:jc w:val="center"/>
      </w:pPr>
      <w:r>
        <w:rPr>
          <w:rFonts w:ascii="Times New Roman" w:cs="Times New Roman" w:eastAsia="Times New Roman" w:hAnsi="Times New Roman"/>
          <w:b w:val="false"/>
          <w:bCs w:val="false"/>
          <w:color w:val="1F5C99"/>
          <w:sz w:val="26"/>
          <w:szCs w:val="26"/>
        </w:rPr>
        <w:t xml:space="preserve">AI-Driven Economic Decision Optimization Model for Vietnam</w:t>
      </w:r>
    </w:p>
    <w:p>
      <w:pPr>
        <w:spacing w:after="60" w:before="60"/>
      </w:pPr>
      <w:r>
        <w:rPr>
          <w:sz w:val="24"/>
          <w:szCs w:val="24"/>
        </w:rPr>
        <w:t xml:space="preserve"> </w:t>
      </w:r>
    </w:p>
    <w:p>
      <w:pPr>
        <w:spacing w:after="60" w:before="60"/>
        <w:jc w:val="center"/>
      </w:pPr>
      <w:r>
        <w:rPr>
          <w:rFonts w:ascii="Times New Roman" w:cs="Times New Roman" w:eastAsia="Times New Roman" w:hAnsi="Times New Roman"/>
          <w:b/>
          <w:bCs/>
          <w:color w:val="000000"/>
          <w:sz w:val="26"/>
          <w:szCs w:val="26"/>
        </w:rPr>
        <w:t xml:space="preserve">Phát triển kinh tế Việt Nam trong kỉ nguyên AI</w:t>
      </w:r>
    </w:p>
    <w:p>
      <w:pPr>
        <w:spacing w:after="60" w:before="60"/>
        <w:jc w:val="center"/>
      </w:pPr>
      <w:r>
        <w:rPr>
          <w:rFonts w:ascii="Times New Roman" w:cs="Times New Roman" w:eastAsia="Times New Roman" w:hAnsi="Times New Roman"/>
          <w:b w:val="false"/>
          <w:bCs w:val="false"/>
          <w:color w:val="555555"/>
          <w:sz w:val="22"/>
          <w:szCs w:val="22"/>
        </w:rPr>
        <w:t xml:space="preserve">Dữ liệu thực tế 2020 – 2025 | Lập trình Python | Tối ưu hóa | Học tăng cường</w:t>
      </w:r>
    </w:p>
    <w:p>
      <w:pPr>
        <w:spacing w:after="60" w:before="60"/>
      </w:pPr>
      <w:r>
        <w:rPr>
          <w:sz w:val="24"/>
          <w:szCs w:val="24"/>
        </w:rPr>
        <w:t xml:space="preserve"> </w:t>
      </w:r>
    </w:p>
    <w:p>
      <w:pPr>
        <w:spacing w:after="60" w:before="60"/>
      </w:pPr>
      <w:r>
        <w:rPr>
          <w:sz w:val="24"/>
          <w:szCs w:val="2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left w:val="none"/>
              <w:bottom w:val="none"/>
              <w:right w:val="none"/>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Sinh viên thực hiện</w:t>
            </w:r>
          </w:p>
        </w:tc>
        <w:tc>
          <w:tcPr>
            <w:tcW w:type="dxa" w:w="6526"/>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b/>
                <w:bCs/>
                <w:sz w:val="22"/>
                <w:szCs w:val="22"/>
              </w:rPr>
              <w:t xml:space="preserve">Đỗ Tiến Đạt</w:t>
            </w:r>
          </w:p>
        </w:tc>
      </w:tr>
      <w:tr>
        <w:tc>
          <w:tcPr>
            <w:tcW w:type="dxa" w:w="2500"/>
            <w:tcBorders>
              <w:top w:val="none"/>
              <w:left w:val="none"/>
              <w:bottom w:val="none"/>
              <w:right w:val="none"/>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Mã sinh viên</w:t>
            </w:r>
          </w:p>
        </w:tc>
        <w:tc>
          <w:tcPr>
            <w:tcW w:type="dxa" w:w="6526"/>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sz w:val="22"/>
                <w:szCs w:val="22"/>
              </w:rPr>
              <w:t xml:space="preserve">[Mã sinh viên]</w:t>
            </w:r>
          </w:p>
        </w:tc>
      </w:tr>
      <w:tr>
        <w:tc>
          <w:tcPr>
            <w:tcW w:type="dxa" w:w="2500"/>
            <w:tcBorders>
              <w:top w:val="none"/>
              <w:left w:val="none"/>
              <w:bottom w:val="none"/>
              <w:right w:val="none"/>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Giảng viên hướng dẫn</w:t>
            </w:r>
          </w:p>
        </w:tc>
        <w:tc>
          <w:tcPr>
            <w:tcW w:type="dxa" w:w="6526"/>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sz w:val="22"/>
                <w:szCs w:val="22"/>
              </w:rPr>
              <w:t xml:space="preserve">[Tên giảng viên]</w:t>
            </w:r>
          </w:p>
        </w:tc>
      </w:tr>
      <w:tr>
        <w:tc>
          <w:tcPr>
            <w:tcW w:type="dxa" w:w="2500"/>
            <w:tcBorders>
              <w:top w:val="none"/>
              <w:left w:val="none"/>
              <w:bottom w:val="none"/>
              <w:right w:val="none"/>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Học kỳ / Năm học</w:t>
            </w:r>
          </w:p>
        </w:tc>
        <w:tc>
          <w:tcPr>
            <w:tcW w:type="dxa" w:w="6526"/>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sz w:val="22"/>
                <w:szCs w:val="22"/>
              </w:rPr>
              <w:t xml:space="preserve">Học kỳ II — Năm học 2024–2025</w:t>
            </w:r>
          </w:p>
        </w:tc>
      </w:tr>
      <w:tr>
        <w:tc>
          <w:tcPr>
            <w:tcW w:type="dxa" w:w="2500"/>
            <w:tcBorders>
              <w:top w:val="none"/>
              <w:left w:val="none"/>
              <w:bottom w:val="none"/>
              <w:right w:val="none"/>
            </w:tcBorders>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Ngày nộp</w:t>
            </w:r>
          </w:p>
        </w:tc>
        <w:tc>
          <w:tcPr>
            <w:tcW w:type="dxa" w:w="6526"/>
            <w:tcBorders>
              <w:top w:val="none"/>
              <w:left w:val="none"/>
              <w:bottom w:val="none"/>
              <w:right w:val="none"/>
            </w:tcBorders>
            <w:tcMar>
              <w:top w:type="dxa" w:w="80"/>
              <w:left w:type="dxa" w:w="120"/>
              <w:bottom w:type="dxa" w:w="80"/>
              <w:right w:type="dxa" w:w="120"/>
            </w:tcMar>
          </w:tcPr>
          <w:p>
            <w:r>
              <w:rPr>
                <w:rFonts w:ascii="Times New Roman" w:cs="Times New Roman" w:eastAsia="Times New Roman" w:hAnsi="Times New Roman"/>
                <w:sz w:val="22"/>
                <w:szCs w:val="22"/>
              </w:rPr>
              <w:t xml:space="preserve">Tháng 5, 2025</w:t>
            </w:r>
          </w:p>
        </w:tc>
      </w:tr>
    </w:tbl>
    <w:p>
      <w:pPr>
        <w:spacing w:after="60" w:before="60"/>
      </w:pPr>
      <w:r>
        <w:rPr>
          <w:sz w:val="24"/>
          <w:szCs w:val="24"/>
        </w:rPr>
        <w:t xml:space="preserve"> </w:t>
      </w:r>
    </w:p>
    <w:p>
      <w:pPr>
        <w:spacing w:after="60" w:before="60"/>
      </w:pPr>
      <w:r>
        <w:rPr>
          <w:sz w:val="24"/>
          <w:szCs w:val="24"/>
        </w:rPr>
        <w:t xml:space="preserve"> </w:t>
      </w:r>
    </w:p>
    <w:p>
      <w:pPr>
        <w:spacing w:after="60" w:before="60"/>
      </w:pPr>
      <w:r>
        <w:rPr>
          <w:sz w:val="24"/>
          <w:szCs w:val="24"/>
        </w:rPr>
        <w:t xml:space="preserve"> </w:t>
      </w:r>
    </w:p>
    <w:p>
      <w:pPr>
        <w:spacing w:after="60" w:before="60"/>
        <w:jc w:val="center"/>
      </w:pPr>
      <w:r>
        <w:rPr>
          <w:rFonts w:ascii="Times New Roman" w:cs="Times New Roman" w:eastAsia="Times New Roman" w:hAnsi="Times New Roman"/>
          <w:b/>
          <w:bCs/>
          <w:color w:val="444444"/>
          <w:sz w:val="24"/>
          <w:szCs w:val="24"/>
        </w:rPr>
        <w:t xml:space="preserve">Hà Nội — 2025</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TÓM TẮT (EXECUTIVE SUMMARY)</w:t>
      </w:r>
    </w:p>
    <w:p>
      <w:pPr>
        <w:spacing w:after="80" w:before="80"/>
        <w:ind w:firstLine="720"/>
        <w:jc w:val="both"/>
      </w:pPr>
      <w:r>
        <w:rPr>
          <w:rFonts w:ascii="Times New Roman" w:cs="Times New Roman" w:eastAsia="Times New Roman" w:hAnsi="Times New Roman"/>
          <w:b w:val="false"/>
          <w:bCs w:val="false"/>
          <w:sz w:val="24"/>
          <w:szCs w:val="24"/>
        </w:rPr>
        <w:t xml:space="preserve">Báo cáo này trình bày kết quả thực hiện bộ 12 bài tập thuộc môn Các mô hình ra quyết định, xây dựng và triển khai hệ thống nguyên mẫu AIDEOM-VN (AI-Driven Economic Decision Optimization Model for Vietnam) — một bộ công cụ hỗ trợ ra quyết định chính sách phát triển kinh tế Việt Nam trong kỷ nguyên trí tuệ nhân tạo, sử dụng dữ liệu thực giai đoạn 2020–2025.</w:t>
      </w:r>
    </w:p>
    <w:p>
      <w:pPr>
        <w:spacing w:after="80" w:before="80"/>
        <w:ind w:firstLine="720"/>
        <w:jc w:val="both"/>
      </w:pPr>
      <w:r>
        <w:rPr>
          <w:rFonts w:ascii="Times New Roman" w:cs="Times New Roman" w:eastAsia="Times New Roman" w:hAnsi="Times New Roman"/>
          <w:b w:val="false"/>
          <w:bCs w:val="false"/>
          <w:sz w:val="24"/>
          <w:szCs w:val="24"/>
        </w:rPr>
        <w:t xml:space="preserve">Hệ thống được tổ chức thành 4 cấp độ với 12 bài toán, từ mô hình hàm sản xuất Cobb-Douglas mở rộng (Bài 1–3), qua quy hoạch tuyến tính và quy hoạch nguyên hỗn hợp (Bài 4–6), đến tối ưu đa mục tiêu Pareto và tối ưu động (Bài 7–9), và cuối cùng là quy hoạch ngẫu nhiên và học tăng cường (Bài 10–12). Tất cả mô hình được lập trình bằng Python và triển khai qua nền tảng Streamlit web app.</w:t>
      </w:r>
    </w:p>
    <w:p>
      <w:pPr>
        <w:spacing w:after="80" w:before="80"/>
        <w:ind w:firstLine="720"/>
        <w:jc w:val="both"/>
      </w:pPr>
      <w:r>
        <w:rPr>
          <w:rFonts w:ascii="Times New Roman" w:cs="Times New Roman" w:eastAsia="Times New Roman" w:hAnsi="Times New Roman"/>
          <w:b w:val="false"/>
          <w:bCs w:val="false"/>
          <w:sz w:val="24"/>
          <w:szCs w:val="24"/>
        </w:rPr>
        <w:t xml:space="preserve">Kết quả nổi bật: (i) MAPE mô hình Cobb-Douglas đạt 6,42%, TFP tăng trung bình từ 27,75 lên 34,91 giai đoạn 2020–2025, phản ánh chất lượng tăng trưởng cải thiện; (ii) Kịch bản số hóa 2030 dự báo GDP đạt 18,26 nghìn tỷ VND; (iii) Phân bổ ngân sách số 100.000 tỷ VND tối ưu dồn 40% vào R&amp;D (Z* = 112,25 nghìn tỷ VND GDP gain); (iv) Mô hình MIP lựa chọn 9/15 dự án với tổng NPV = 115.400 tỷ VND, tỷ suất 1,93; (v) TOPSIS xác định Đông Nam Bộ và Đồng bằng sông Hồng là hai vùng ưu tiên triển khai AI quốc gia.</w:t>
      </w:r>
    </w:p>
    <w:p>
      <w:pPr>
        <w:spacing w:after="80" w:before="80"/>
        <w:ind w:firstLine="720"/>
        <w:jc w:val="both"/>
      </w:pPr>
      <w:r>
        <w:rPr>
          <w:rFonts w:ascii="Times New Roman" w:cs="Times New Roman" w:eastAsia="Times New Roman" w:hAnsi="Times New Roman"/>
          <w:b w:val="false"/>
          <w:bCs w:val="false"/>
          <w:sz w:val="24"/>
          <w:szCs w:val="24"/>
        </w:rPr>
        <w:t xml:space="preserve">Ba khuyến nghị chính sách then chốt: (1) Ưu tiên đào tạo nhân lực số trước và song song với đầu tư AI — hệ số H cao hơn trong các kịch bản bất định cho thấy đây là 'hàng hóa bảo hiểm' chiến lược; (2) Duy trì ràng buộc công bằng vùng miền dù hi sinh khoảng 23,66% GDP gain tiềm năng, để tránh phân hóa số vùng; (3) Áp dụng tư duy xác suất (VSS &gt; 0) khi hoạch định chính sách trong bối cảnh thương mại mở, biến động địa-chính trị cao.</w:t>
      </w:r>
    </w:p>
    <w:p>
      <w:pPr>
        <w:spacing w:after="60" w:before="60"/>
      </w:pPr>
      <w:r>
        <w:rPr>
          <w:sz w:val="24"/>
          <w:szCs w:val="2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Chỉ số chính</w:t>
            </w:r>
          </w:p>
        </w:tc>
        <w:tc>
          <w:tcPr>
            <w:tcW w:type="dxa" w:w="60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MAPE Cobb-Douglas (Bài 1)</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6,42%</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GDP dự báo 2030</w:t>
            </w:r>
          </w:p>
        </w:tc>
        <w:tc>
          <w:tcPr>
            <w:tcW w:type="dxa" w:w="60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18,26 nghìn tỷ VND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Z* LP Bài 2 (B=100)</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112,25 nghìn tỷ VND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Z* LP Bài 4 (có công bằng)</w:t>
            </w:r>
          </w:p>
        </w:tc>
        <w:tc>
          <w:tcPr>
            <w:tcW w:type="dxa" w:w="60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52.485 tỷ VND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Z* MIP Bài 5</w:t>
            </w:r>
          </w:p>
        </w:tc>
        <w:tc>
          <w:tcPr>
            <w:tcW w:type="dxa" w:w="6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115.400 tỷ VND (9 dự án)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Vùng ưu tiên AI (TOPSIS)</w:t>
            </w:r>
          </w:p>
        </w:tc>
        <w:tc>
          <w:tcPr>
            <w:tcW w:type="dxa" w:w="60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Đông Nam Bộ (0,940), Đồng bằng sông Hồng (0,898)</w:t>
            </w:r>
          </w:p>
        </w:tc>
      </w:tr>
    </w:tbl>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1 — HÀM SẢN XUẤT COBB-DOUGLAS MỞ RỘNG VỚI AI VÀ SỐ HÓA</w:t>
      </w:r>
    </w:p>
    <w:p>
      <w:pPr>
        <w:pStyle w:val="Heading2"/>
        <w:spacing w:after="140" w:before="280"/>
      </w:pPr>
      <w:r>
        <w:rPr>
          <w:rFonts w:ascii="Times New Roman" w:cs="Times New Roman" w:eastAsia="Times New Roman" w:hAnsi="Times New Roman"/>
          <w:b/>
          <w:bCs/>
          <w:color w:val="C00000"/>
          <w:sz w:val="28"/>
          <w:szCs w:val="28"/>
        </w:rPr>
        <w:t xml:space="preserve">1.1. Bối cảnh và mục tiêu học tập</w:t>
      </w:r>
    </w:p>
    <w:p>
      <w:pPr>
        <w:spacing w:after="80" w:before="80"/>
        <w:ind w:firstLine="720"/>
        <w:jc w:val="both"/>
      </w:pPr>
      <w:r>
        <w:rPr>
          <w:rFonts w:ascii="Times New Roman" w:cs="Times New Roman" w:eastAsia="Times New Roman" w:hAnsi="Times New Roman"/>
          <w:b w:val="false"/>
          <w:bCs w:val="false"/>
          <w:sz w:val="24"/>
          <w:szCs w:val="24"/>
        </w:rPr>
        <w:t xml:space="preserve">GDP Việt Nam năm 2024 đạt 11.511,9 nghìn tỷ VND, tăng 7,09% so với năm 2023. Năng suất lao động đạt 221,9 triệu VND/người (2024) và tăng lên 245,0 triệu VND/người (2025). Kinh tế số chiếm 18,3–19,5% GDP, đóng góp khoa học-công nghệ ước tính 2,49% năm 2025.</w:t>
      </w:r>
    </w:p>
    <w:p>
      <w:pPr>
        <w:spacing w:after="80" w:before="80"/>
        <w:ind w:firstLine="720"/>
        <w:jc w:val="both"/>
      </w:pPr>
      <w:r>
        <w:rPr>
          <w:rFonts w:ascii="Times New Roman" w:cs="Times New Roman" w:eastAsia="Times New Roman" w:hAnsi="Times New Roman"/>
          <w:b w:val="false"/>
          <w:bCs w:val="false"/>
          <w:sz w:val="24"/>
          <w:szCs w:val="24"/>
        </w:rPr>
        <w:t xml:space="preserve">Bài tập này mô hình hóa nền kinh tế Việt Nam bằng hàm sản xuất Cobb-Douglas mở rộng với các yếu tố số hóa D, năng lực AI và vốn nhân lực số H, kiểm tra độ khớp với số liệu thực tế và phân tích đóng góp tăng trưởng.</w:t>
      </w:r>
    </w:p>
    <w:p>
      <w:pPr>
        <w:pStyle w:val="Heading2"/>
        <w:spacing w:after="140" w:before="280"/>
      </w:pPr>
      <w:r>
        <w:rPr>
          <w:rFonts w:ascii="Times New Roman" w:cs="Times New Roman" w:eastAsia="Times New Roman" w:hAnsi="Times New Roman"/>
          <w:b/>
          <w:bCs/>
          <w:color w:val="C00000"/>
          <w:sz w:val="28"/>
          <w:szCs w:val="28"/>
        </w:rPr>
        <w:t xml:space="preserve">1.2. Mô hình toán học</w:t>
      </w:r>
    </w:p>
    <w:p>
      <w:pPr>
        <w:spacing w:after="80" w:before="80"/>
        <w:ind w:firstLine="720"/>
        <w:jc w:val="both"/>
      </w:pPr>
      <w:r>
        <w:rPr>
          <w:rFonts w:ascii="Times New Roman" w:cs="Times New Roman" w:eastAsia="Times New Roman" w:hAnsi="Times New Roman"/>
          <w:b w:val="false"/>
          <w:bCs w:val="false"/>
          <w:sz w:val="24"/>
          <w:szCs w:val="24"/>
        </w:rPr>
        <w:t xml:space="preserve">Hàm sản xuất tổng hợp:</w:t>
      </w:r>
    </w:p>
    <w:p>
      <w:pPr>
        <w:spacing w:after="60" w:before="60"/>
        <w:jc w:val="center"/>
      </w:pPr>
      <w:r>
        <w:rPr>
          <w:rFonts w:ascii="Times New Roman" w:cs="Times New Roman" w:eastAsia="Times New Roman" w:hAnsi="Times New Roman"/>
          <w:b/>
          <w:bCs/>
          <w:color w:val="000000"/>
          <w:sz w:val="24"/>
          <w:szCs w:val="24"/>
        </w:rPr>
        <w:t xml:space="preserve">Yₜ = Aₜ · Kₜ^α · Lₜ^β · Dₜ^γ · AIₜ^δ · Hₜ^θ</w:t>
      </w:r>
    </w:p>
    <w:p>
      <w:pPr>
        <w:spacing w:after="80" w:before="80"/>
        <w:ind w:firstLine="720"/>
        <w:jc w:val="both"/>
      </w:pPr>
      <w:r>
        <w:rPr>
          <w:rFonts w:ascii="Times New Roman" w:cs="Times New Roman" w:eastAsia="Times New Roman" w:hAnsi="Times New Roman"/>
          <w:b w:val="false"/>
          <w:bCs w:val="false"/>
          <w:sz w:val="24"/>
          <w:szCs w:val="24"/>
        </w:rPr>
        <w:t xml:space="preserve">với điều kiện lợi suất không đổi theo quy mô: α + β + γ + δ + θ = 1.</w:t>
      </w:r>
    </w:p>
    <w:p>
      <w:pPr>
        <w:spacing w:after="80" w:before="80"/>
        <w:ind w:firstLine="720"/>
        <w:jc w:val="both"/>
      </w:pPr>
      <w:r>
        <w:rPr>
          <w:rFonts w:ascii="Times New Roman" w:cs="Times New Roman" w:eastAsia="Times New Roman" w:hAnsi="Times New Roman"/>
          <w:b w:val="false"/>
          <w:bCs w:val="false"/>
          <w:sz w:val="24"/>
          <w:szCs w:val="24"/>
        </w:rPr>
        <w:t xml:space="preserve">Hệ số đề xuất: α = 0,33; β = 0,42; γ = 0,10; δ = 0,08; θ = 0,07.</w:t>
      </w:r>
    </w:p>
    <w:p>
      <w:pPr>
        <w:spacing w:after="80" w:before="80"/>
        <w:ind w:firstLine="720"/>
        <w:jc w:val="both"/>
      </w:pPr>
      <w:r>
        <w:rPr>
          <w:rFonts w:ascii="Times New Roman" w:cs="Times New Roman" w:eastAsia="Times New Roman" w:hAnsi="Times New Roman"/>
          <w:b w:val="false"/>
          <w:bCs w:val="false"/>
          <w:sz w:val="24"/>
          <w:szCs w:val="24"/>
        </w:rPr>
        <w:t xml:space="preserve">Phương trình phân rã tăng trưởng: Δln Yₜ = Δln Aₜ + α·Δln Kₜ + β·Δln Lₜ + γ·Δln Dₜ + δ·Δln AIₜ + θ·Δln Hₜ.</w:t>
      </w:r>
    </w:p>
    <w:p>
      <w:pPr>
        <w:pStyle w:val="Heading2"/>
        <w:spacing w:after="140" w:before="280"/>
      </w:pPr>
      <w:r>
        <w:rPr>
          <w:rFonts w:ascii="Times New Roman" w:cs="Times New Roman" w:eastAsia="Times New Roman" w:hAnsi="Times New Roman"/>
          <w:b/>
          <w:bCs/>
          <w:color w:val="C00000"/>
          <w:sz w:val="28"/>
          <w:szCs w:val="28"/>
        </w:rPr>
        <w:t xml:space="preserve">1.3. Dữ liệu Việt Nam 2020–2025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00"/>
        <w:gridCol w:w="900"/>
        <w:gridCol w:w="1100"/>
        <w:gridCol w:w="1276"/>
        <w:gridCol w:w="1000"/>
        <w:gridCol w:w="1000"/>
      </w:tblGrid>
      <w:tr>
        <w:tc>
          <w:tcPr>
            <w:tcW w:type="dxa" w:w="9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Năm</w:t>
            </w:r>
          </w:p>
        </w:tc>
        <w:tc>
          <w:tcPr>
            <w:tcW w:type="dxa" w:w="145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Y (ng.tỷ VND)</w:t>
            </w:r>
          </w:p>
        </w:tc>
        <w:tc>
          <w:tcPr>
            <w:tcW w:type="dxa" w:w="14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 (ng.tỷ)</w:t>
            </w:r>
          </w:p>
        </w:tc>
        <w:tc>
          <w:tcPr>
            <w:tcW w:type="dxa" w:w="9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 (tr.LĐ)</w:t>
            </w:r>
          </w:p>
        </w:tc>
        <w:tc>
          <w:tcPr>
            <w:tcW w:type="dxa" w:w="11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 (KTS%)</w:t>
            </w:r>
          </w:p>
        </w:tc>
        <w:tc>
          <w:tcPr>
            <w:tcW w:type="dxa" w:w="127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AI (ng.DN)</w:t>
            </w:r>
          </w:p>
        </w:tc>
        <w:tc>
          <w:tcPr>
            <w:tcW w:type="dxa" w:w="1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 (LĐ ĐT%)</w:t>
            </w:r>
          </w:p>
        </w:tc>
        <w:tc>
          <w:tcPr>
            <w:tcW w:type="dxa" w:w="1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A_t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2020</w:t>
            </w:r>
          </w:p>
        </w:tc>
        <w:tc>
          <w:tcPr>
            <w:tcW w:type="dxa" w:w="1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8.044,4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16.500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53,6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12,0</w:t>
            </w:r>
          </w:p>
        </w:tc>
        <w:tc>
          <w:tcPr>
            <w:tcW w:type="dxa" w:w="127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55,6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27,75</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2021</w:t>
            </w:r>
          </w:p>
        </w:tc>
        <w:tc>
          <w:tcPr>
            <w:tcW w:type="dxa" w:w="145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8.487,5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17.800</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50,5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12,7</w:t>
            </w:r>
          </w:p>
        </w:tc>
        <w:tc>
          <w:tcPr>
            <w:tcW w:type="dxa" w:w="127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60,2</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26,1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28,76</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2022</w:t>
            </w:r>
          </w:p>
        </w:tc>
        <w:tc>
          <w:tcPr>
            <w:tcW w:type="dxa" w:w="1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9.513,3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19.600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51,7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14,3</w:t>
            </w:r>
          </w:p>
        </w:tc>
        <w:tc>
          <w:tcPr>
            <w:tcW w:type="dxa" w:w="127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65,4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30,35</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2023</w:t>
            </w:r>
          </w:p>
        </w:tc>
        <w:tc>
          <w:tcPr>
            <w:tcW w:type="dxa" w:w="145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10.221,8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21.300</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52,4</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16,5</w:t>
            </w:r>
          </w:p>
        </w:tc>
        <w:tc>
          <w:tcPr>
            <w:tcW w:type="dxa" w:w="127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67,0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27,0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30,98</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2024</w:t>
            </w:r>
          </w:p>
        </w:tc>
        <w:tc>
          <w:tcPr>
            <w:tcW w:type="dxa" w:w="14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11.511,9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23.500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52,9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18,3</w:t>
            </w:r>
          </w:p>
        </w:tc>
        <w:tc>
          <w:tcPr>
            <w:tcW w:type="dxa" w:w="127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28,4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32,92</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2025</w:t>
            </w:r>
          </w:p>
        </w:tc>
        <w:tc>
          <w:tcPr>
            <w:tcW w:type="dxa" w:w="145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12.847,6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25.900</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53,4</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19,5</w:t>
            </w:r>
          </w:p>
        </w:tc>
        <w:tc>
          <w:tcPr>
            <w:tcW w:type="dxa" w:w="127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80,1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29,2</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34,91</w:t>
            </w:r>
          </w:p>
        </w:tc>
      </w:tr>
    </w:tbl>
    <w:p>
      <w:pPr>
        <w:pStyle w:val="Heading2"/>
        <w:spacing w:after="140" w:before="280"/>
      </w:pPr>
      <w:r>
        <w:rPr>
          <w:rFonts w:ascii="Times New Roman" w:cs="Times New Roman" w:eastAsia="Times New Roman" w:hAnsi="Times New Roman"/>
          <w:b/>
          <w:bCs/>
          <w:color w:val="C00000"/>
          <w:sz w:val="28"/>
          <w:szCs w:val="28"/>
        </w:rPr>
        <w:t xml:space="preserve">1.4. Kết quả lập trình và phân tích</w:t>
      </w:r>
    </w:p>
    <w:p>
      <w:pPr>
        <w:pStyle w:val="Heading3"/>
        <w:spacing w:after="100" w:before="200"/>
      </w:pPr>
      <w:r>
        <w:rPr>
          <w:rFonts w:ascii="Times New Roman" w:cs="Times New Roman" w:eastAsia="Times New Roman" w:hAnsi="Times New Roman"/>
          <w:b/>
          <w:bCs/>
          <w:color w:val="1F5C99"/>
          <w:sz w:val="26"/>
          <w:szCs w:val="26"/>
        </w:rPr>
        <w:t xml:space="preserve">Câu 1.4.1 — TFP (Aₜ) theo năm</w:t>
      </w:r>
    </w:p>
    <w:p>
      <w:pPr>
        <w:spacing w:after="80" w:before="80"/>
        <w:ind w:firstLine="720"/>
        <w:jc w:val="both"/>
      </w:pPr>
      <w:r>
        <w:rPr>
          <w:rFonts w:ascii="Times New Roman" w:cs="Times New Roman" w:eastAsia="Times New Roman" w:hAnsi="Times New Roman"/>
          <w:b w:val="false"/>
          <w:bCs w:val="false"/>
          <w:sz w:val="24"/>
          <w:szCs w:val="24"/>
        </w:rPr>
        <w:t xml:space="preserve">Ước lượng TFP bằng cách giải ngược từ hàm sản xuất: Aₜ = Yₜ / (Kₜ^α · Lₜ^β · Dₜ^γ · AIₜ^δ · Hₜ^θ). Kết quả cho thấy TFP tăng liên tục từ 27,75 (2020) lên 34,91 (2025), tương ứng tốc độ tăng 4,60%/năm.</w:t>
      </w:r>
    </w:p>
    <w:p>
      <w:pPr>
        <w:spacing w:after="80" w:before="80"/>
        <w:ind w:firstLine="720"/>
        <w:jc w:val="both"/>
      </w:pPr>
      <w:r>
        <w:rPr>
          <w:rFonts w:ascii="Times New Roman" w:cs="Times New Roman" w:eastAsia="Times New Roman" w:hAnsi="Times New Roman"/>
          <w:b w:val="false"/>
          <w:bCs w:val="false"/>
          <w:sz w:val="24"/>
          <w:szCs w:val="24"/>
        </w:rPr>
        <w:t xml:space="preserve">Xu hướng TFP tăng bền vững phản ánh quá trình chuyển dịch chất lượng tăng trưởng: nền kinh tế đang dần từ tăng trưởng chiều rộng (tích lũy vốn) sang chiều sâu (năng suất, công nghệ). Đây là tín hiệu tích cực trong bối cảnh Nghị quyết 57-NQ/TW nhấn mạnh đột phá về khoa học-công nghệ.</w:t>
      </w:r>
    </w:p>
    <w:p>
      <w:pPr>
        <w:pStyle w:val="Heading3"/>
        <w:spacing w:after="100" w:before="200"/>
      </w:pPr>
      <w:r>
        <w:rPr>
          <w:rFonts w:ascii="Times New Roman" w:cs="Times New Roman" w:eastAsia="Times New Roman" w:hAnsi="Times New Roman"/>
          <w:b/>
          <w:bCs/>
          <w:color w:val="1F5C99"/>
          <w:sz w:val="26"/>
          <w:szCs w:val="26"/>
        </w:rPr>
        <w:t xml:space="preserve">Câu 1.4.2 — Độ khớp mô hình (MAPE = 6,42%)</w:t>
      </w:r>
    </w:p>
    <w:p>
      <w:pPr>
        <w:spacing w:after="80" w:before="80"/>
        <w:ind w:firstLine="720"/>
        <w:jc w:val="both"/>
      </w:pPr>
      <w:r>
        <w:rPr>
          <w:rFonts w:ascii="Times New Roman" w:cs="Times New Roman" w:eastAsia="Times New Roman" w:hAnsi="Times New Roman"/>
          <w:b w:val="false"/>
          <w:bCs w:val="false"/>
          <w:sz w:val="24"/>
          <w:szCs w:val="24"/>
        </w:rPr>
        <w:t xml:space="preserve">Sử dụng Ā = 30,9444 (trung bình A 2020–2025) để tính Y dự báo. MAPE = 6,42% ở mức chấp nhận được cho một mô hình vĩ mô 5 biến, đặc biệt khi giai đoạn 2020–2021 bị ảnh hưởng bởi COVID-19. Mô hình phản ánh tốt xu hướng dài hạn.</w:t>
      </w:r>
    </w:p>
    <w:p>
      <w:pPr>
        <w:pStyle w:val="Heading3"/>
        <w:spacing w:after="100" w:before="200"/>
      </w:pPr>
      <w:r>
        <w:rPr>
          <w:rFonts w:ascii="Times New Roman" w:cs="Times New Roman" w:eastAsia="Times New Roman" w:hAnsi="Times New Roman"/>
          <w:b/>
          <w:bCs/>
          <w:color w:val="1F5C99"/>
          <w:sz w:val="26"/>
          <w:szCs w:val="26"/>
        </w:rPr>
        <w:t xml:space="preserve">Câu 1.4.3 — Phân rã đóng góp tăng trưởng 2020–2025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500"/>
        <w:gridCol w:w="2000"/>
        <w:gridCol w:w="2000"/>
      </w:tblGrid>
      <w:tr>
        <w:tc>
          <w:tcPr>
            <w:tcW w:type="dxa" w:w="25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Yếu tố</w:t>
            </w:r>
          </w:p>
        </w:tc>
        <w:tc>
          <w:tcPr>
            <w:tcW w:type="dxa" w:w="2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Đóng góp (đpt/năm)</w:t>
            </w:r>
          </w:p>
        </w:tc>
        <w:tc>
          <w:tcPr>
            <w:tcW w:type="dxa" w:w="2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Tỷ trọng (%)</w:t>
            </w:r>
          </w:p>
        </w:tc>
        <w:tc>
          <w:tcPr>
            <w:tcW w:type="dxa" w:w="2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Nhận xét</w:t>
            </w:r>
          </w:p>
        </w:tc>
      </w:tr>
      <w:tr>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TFP (Aₜ)</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+4,60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49,08%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Chủ đạo</w:t>
            </w:r>
          </w:p>
        </w:tc>
      </w:tr>
      <w:tr>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Vốn vật chất (K)</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+2,98</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31,78%</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Quan trọng</w:t>
            </w:r>
          </w:p>
        </w:tc>
      </w:tr>
      <w:tr>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Số hóa (D)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+0,97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10,37%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Đáng kể</w:t>
            </w:r>
          </w:p>
        </w:tc>
      </w:tr>
      <w:tr>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AI</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+0,58</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6,24%</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Tăng dần</w:t>
            </w:r>
          </w:p>
        </w:tc>
      </w:tr>
      <w:tr>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Nhân lực số (H)</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+0,27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2,87%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Tiềm năng lớn</w:t>
            </w:r>
          </w:p>
        </w:tc>
      </w:tr>
      <w:tr>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Lao động (L)</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-0,03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-0,34%</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Già hóa dân số</w:t>
            </w:r>
          </w:p>
        </w:tc>
      </w:tr>
    </w:tbl>
    <w:p>
      <w:pPr>
        <w:spacing w:after="60" w:before="60"/>
      </w:pPr>
      <w:r>
        <w:rPr>
          <w:sz w:val="24"/>
          <w:szCs w:val="24"/>
        </w:rPr>
        <w:t xml:space="preserve"> </w:t>
      </w:r>
    </w:p>
    <w:p>
      <w:pPr>
        <w:pStyle w:val="Heading3"/>
        <w:spacing w:after="100" w:before="200"/>
      </w:pPr>
      <w:r>
        <w:rPr>
          <w:rFonts w:ascii="Times New Roman" w:cs="Times New Roman" w:eastAsia="Times New Roman" w:hAnsi="Times New Roman"/>
          <w:b/>
          <w:bCs/>
          <w:color w:val="1F5C99"/>
          <w:sz w:val="26"/>
          <w:szCs w:val="26"/>
        </w:rPr>
        <w:t xml:space="preserve">Câu 1.4.4 — Dự báo GDP 2030 (Kịch bản số hóa 30%)</w:t>
      </w:r>
    </w:p>
    <w:p>
      <w:pPr>
        <w:spacing w:after="80" w:before="80"/>
        <w:ind w:firstLine="720"/>
        <w:jc w:val="both"/>
      </w:pPr>
      <w:r>
        <w:rPr>
          <w:rFonts w:ascii="Times New Roman" w:cs="Times New Roman" w:eastAsia="Times New Roman" w:hAnsi="Times New Roman"/>
          <w:b w:val="false"/>
          <w:bCs w:val="false"/>
          <w:sz w:val="24"/>
          <w:szCs w:val="24"/>
        </w:rPr>
        <w:t xml:space="preserve">Với D₂₀₃₀ = 30%, AI₂₀₃₀ = 100 nghìn DN, H₂₀₃₀ = 35%, K và L tăng 6%/năm, TFP tăng 1,2%/năm: GDP 2030 dự báo đạt 18,262 nghìn tỷ VND (~750 tỷ USD). Đây là kịch bản tham vọng nhưng khả thi nếu duy trì đà cải cách thể chế và đầu tư số hóa.</w:t>
      </w:r>
    </w:p>
    <w:p>
      <w:pPr>
        <w:pStyle w:val="Heading2"/>
        <w:spacing w:after="140" w:before="280"/>
      </w:pPr>
      <w:r>
        <w:rPr>
          <w:rFonts w:ascii="Times New Roman" w:cs="Times New Roman" w:eastAsia="Times New Roman" w:hAnsi="Times New Roman"/>
          <w:b/>
          <w:bCs/>
          <w:color w:val="C00000"/>
          <w:sz w:val="28"/>
          <w:szCs w:val="28"/>
        </w:rPr>
        <w:t xml:space="preserve">1.5. Thảo luận chính sách</w:t>
      </w:r>
    </w:p>
    <w:p>
      <w:pPr>
        <w:spacing w:after="80" w:before="80"/>
        <w:ind w:firstLine="720"/>
        <w:jc w:val="both"/>
      </w:pPr>
      <w:r>
        <w:rPr>
          <w:rFonts w:ascii="Times New Roman" w:cs="Times New Roman" w:eastAsia="Times New Roman" w:hAnsi="Times New Roman"/>
          <w:sz w:val="24"/>
          <w:szCs w:val="24"/>
        </w:rPr>
        <w:t xml:space="preserve">a) TFP của Việt Nam tăng bền vững 4,60%/năm trong 2020–2025 — tín hiệu chất lượng tăng trưởng cải thiện. TFP chiếm 49,08% tổng tăng trưởng cho thấy nền kinh tế đang dần thoát khỏi mô hình tăng trưởng thâm dụng vốn, phù hợp định hướng Nghị quyết 57-NQ/TW.</w:t>
      </w:r>
    </w:p>
    <w:p>
      <w:pPr>
        <w:spacing w:after="80" w:before="80"/>
        <w:ind w:firstLine="720"/>
        <w:jc w:val="both"/>
      </w:pPr>
      <w:r>
        <w:rPr>
          <w:rFonts w:ascii="Times New Roman" w:cs="Times New Roman" w:eastAsia="Times New Roman" w:hAnsi="Times New Roman"/>
          <w:sz w:val="24"/>
          <w:szCs w:val="24"/>
        </w:rPr>
        <w:t xml:space="preserve">b) Trong các yếu tố mới, số hóa (D) đóng góp lớn nhất (10,37%) do hệ số co giãn cao nhất (γ=0,10) và tốc độ tăng D nhanh (12%→19,5% GDP). AI và H còn khiêm tốn — hàm ý cần tăng đầu tư dài hạn vào nhân lực số để nâng θ thực tế.</w:t>
      </w:r>
    </w:p>
    <w:p>
      <w:pPr>
        <w:spacing w:after="80" w:before="80"/>
        <w:ind w:firstLine="720"/>
        <w:jc w:val="both"/>
      </w:pPr>
      <w:r>
        <w:rPr>
          <w:rFonts w:ascii="Times New Roman" w:cs="Times New Roman" w:eastAsia="Times New Roman" w:hAnsi="Times New Roman"/>
          <w:sz w:val="24"/>
          <w:szCs w:val="24"/>
        </w:rPr>
        <w:t xml:space="preserve">c) Mục tiêu 30% kinh tế số/GDP 2030 khả thi nhưng cần D tăng ~9%/năm từ 2025 — cao hơn tốc độ lịch sử. Cần đồng bộ ràng buộc: H ≥ 35%, hạ tầng phủ vùng yếu, và TFP duy trì dương; nếu không, mục tiêu chỉ đạt trên giấy.</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2 — LP PHÂN BỔ NGÂN SÁCH 4 HẠNG MỤC ĐẦU TƯ SỐ</w:t>
      </w:r>
    </w:p>
    <w:p>
      <w:pPr>
        <w:pStyle w:val="Heading2"/>
        <w:spacing w:after="140" w:before="280"/>
      </w:pPr>
      <w:r>
        <w:rPr>
          <w:rFonts w:ascii="Times New Roman" w:cs="Times New Roman" w:eastAsia="Times New Roman" w:hAnsi="Times New Roman"/>
          <w:b/>
          <w:bCs/>
          <w:color w:val="C00000"/>
          <w:sz w:val="28"/>
          <w:szCs w:val="28"/>
        </w:rPr>
        <w:t xml:space="preserve">2.1. Bối cảnh</w:t>
      </w:r>
    </w:p>
    <w:p>
      <w:pPr>
        <w:spacing w:after="80" w:before="80"/>
        <w:ind w:firstLine="720"/>
        <w:jc w:val="both"/>
      </w:pPr>
      <w:r>
        <w:rPr>
          <w:rFonts w:ascii="Times New Roman" w:cs="Times New Roman" w:eastAsia="Times New Roman" w:hAnsi="Times New Roman"/>
          <w:b w:val="false"/>
          <w:bCs w:val="false"/>
          <w:sz w:val="24"/>
          <w:szCs w:val="24"/>
        </w:rPr>
        <w:t xml:space="preserve">Theo Quyết định 749/QĐ-TTg, đến 2025 Việt Nam đặt mục tiêu kinh tế số đạt 20% GDP. Bài toán mô phỏng phân bổ 100.000 tỷ VND ngân sách cho 4 hạng mục: hạ tầng số (x₁), AI và dữ liệu (x₂), nhân lực số (x₃), R&amp;D công nghệ (x₄).</w:t>
      </w:r>
    </w:p>
    <w:p>
      <w:pPr>
        <w:pStyle w:val="Heading2"/>
        <w:spacing w:after="140" w:before="280"/>
      </w:pPr>
      <w:r>
        <w:rPr>
          <w:rFonts w:ascii="Times New Roman" w:cs="Times New Roman" w:eastAsia="Times New Roman" w:hAnsi="Times New Roman"/>
          <w:b/>
          <w:bCs/>
          <w:color w:val="C00000"/>
          <w:sz w:val="28"/>
          <w:szCs w:val="28"/>
        </w:rPr>
        <w:t xml:space="preserve">2.2. Mô hình LP</w:t>
      </w:r>
    </w:p>
    <w:p>
      <w:pPr>
        <w:spacing w:after="80" w:before="80"/>
        <w:ind w:firstLine="720"/>
        <w:jc w:val="both"/>
      </w:pPr>
      <w:r>
        <w:rPr>
          <w:rFonts w:ascii="Times New Roman" w:cs="Times New Roman" w:eastAsia="Times New Roman" w:hAnsi="Times New Roman"/>
          <w:b w:val="false"/>
          <w:bCs w:val="false"/>
          <w:sz w:val="24"/>
          <w:szCs w:val="24"/>
        </w:rPr>
        <w:t xml:space="preserve">Hàm mục tiêu: max Z = 0,85x₁ + 1,20x₂ + 0,95x₃ + 1,35x₄</w:t>
      </w:r>
    </w:p>
    <w:p>
      <w:pPr>
        <w:spacing w:after="80" w:before="80"/>
        <w:ind w:firstLine="720"/>
        <w:jc w:val="both"/>
      </w:pPr>
      <w:r>
        <w:rPr>
          <w:rFonts w:ascii="Times New Roman" w:cs="Times New Roman" w:eastAsia="Times New Roman" w:hAnsi="Times New Roman"/>
          <w:b w:val="false"/>
          <w:bCs w:val="false"/>
          <w:sz w:val="24"/>
          <w:szCs w:val="24"/>
        </w:rPr>
        <w:t xml:space="preserve">Ràng buộc: x₁+x₂+x₃+x₄ ≤ 100; x₁ ≥ 25; x₂ ≥ 15; x₃ ≥ 20; x₄ ≥ 10; (x₂+x₄) ≥ 0,35(x₁+x₂+x₃+x₄)</w:t>
      </w:r>
    </w:p>
    <w:p>
      <w:pPr>
        <w:pStyle w:val="Heading2"/>
        <w:spacing w:after="140" w:before="280"/>
      </w:pPr>
      <w:r>
        <w:rPr>
          <w:rFonts w:ascii="Times New Roman" w:cs="Times New Roman" w:eastAsia="Times New Roman" w:hAnsi="Times New Roman"/>
          <w:b/>
          <w:bCs/>
          <w:color w:val="C00000"/>
          <w:sz w:val="28"/>
          <w:szCs w:val="28"/>
        </w:rPr>
        <w:t xml:space="preserve">2.3. Kết quả tối 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2113"/>
        <w:gridCol w:w="2000"/>
      </w:tblGrid>
      <w:tr>
        <w:tc>
          <w:tcPr>
            <w:tcW w:type="dxa" w:w="28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2113"/>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Phân bổ (ng.tỷ)</w:t>
            </w:r>
          </w:p>
        </w:tc>
        <w:tc>
          <w:tcPr>
            <w:tcW w:type="dxa" w:w="2113"/>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Tỷ trọng (%)</w:t>
            </w:r>
          </w:p>
        </w:tc>
        <w:tc>
          <w:tcPr>
            <w:tcW w:type="dxa" w:w="2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x₁ — Hạ tầng số</w:t>
            </w:r>
          </w:p>
        </w:tc>
        <w:tc>
          <w:tcPr>
            <w:tcW w:type="dxa" w:w="21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25,00</w:t>
            </w:r>
          </w:p>
        </w:tc>
        <w:tc>
          <w:tcPr>
            <w:tcW w:type="dxa" w:w="21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Tại sàn tối thiểu</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x₂ — AI &amp; dữ liệu</w:t>
            </w:r>
          </w:p>
        </w:tc>
        <w:tc>
          <w:tcPr>
            <w:tcW w:type="dxa" w:w="211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15,00</w:t>
            </w:r>
          </w:p>
        </w:tc>
        <w:tc>
          <w:tcPr>
            <w:tcW w:type="dxa" w:w="211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Tại sàn tối thiểu</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x₃ — Nhân lực số</w:t>
            </w:r>
          </w:p>
        </w:tc>
        <w:tc>
          <w:tcPr>
            <w:tcW w:type="dxa" w:w="21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20,00</w:t>
            </w:r>
          </w:p>
        </w:tc>
        <w:tc>
          <w:tcPr>
            <w:tcW w:type="dxa" w:w="21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Tại sàn tối thiểu</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x₄ — R&amp;D công nghệ</w:t>
            </w:r>
          </w:p>
        </w:tc>
        <w:tc>
          <w:tcPr>
            <w:tcW w:type="dxa" w:w="211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40,00</w:t>
            </w:r>
          </w:p>
        </w:tc>
        <w:tc>
          <w:tcPr>
            <w:tcW w:type="dxa" w:w="211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40%</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Tối đa hóa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Z* (GDP gain kỳ vọng)</w:t>
            </w:r>
          </w:p>
        </w:tc>
        <w:tc>
          <w:tcPr>
            <w:tcW w:type="dxa" w:w="21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112,25 ng.tỷ</w:t>
            </w:r>
          </w:p>
        </w:tc>
        <w:tc>
          <w:tcPr>
            <w:tcW w:type="dxa" w:w="211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Tối ưu</w:t>
            </w:r>
          </w:p>
        </w:tc>
      </w:tr>
    </w:tbl>
    <w:p>
      <w:pPr>
        <w:spacing w:after="60" w:before="60"/>
      </w:pPr>
      <w:r>
        <w:rPr>
          <w:sz w:val="24"/>
          <w:szCs w:val="24"/>
        </w:rPr>
        <w:t xml:space="preserve"> </w:t>
      </w:r>
    </w:p>
    <w:p>
      <w:pPr>
        <w:spacing w:after="80" w:before="80"/>
        <w:ind w:firstLine="720"/>
        <w:jc w:val="both"/>
      </w:pPr>
      <w:r>
        <w:rPr>
          <w:rFonts w:ascii="Times New Roman" w:cs="Times New Roman" w:eastAsia="Times New Roman" w:hAnsi="Times New Roman"/>
          <w:b w:val="false"/>
          <w:bCs w:val="false"/>
          <w:sz w:val="24"/>
          <w:szCs w:val="24"/>
        </w:rPr>
        <w:t xml:space="preserve">Nhận xét: Mô hình dồn toàn bộ ngân sách còn lại vào R&amp;D (x₄) vì hệ số tác động cao nhất (1,35). Khi tăng ngân sách từ 100 → 120 → 140 nghìn tỷ, Z* tăng tuyến tính với shadow price = 1,35 (hệ số R&amp;D), cho thấy mỗi đồng tăng thêm được dồn vào hạng mục biên cao nhất.</w:t>
      </w:r>
    </w:p>
    <w:p>
      <w:pPr>
        <w:pStyle w:val="Heading2"/>
        <w:spacing w:after="140" w:before="280"/>
      </w:pPr>
      <w:r>
        <w:rPr>
          <w:rFonts w:ascii="Times New Roman" w:cs="Times New Roman" w:eastAsia="Times New Roman" w:hAnsi="Times New Roman"/>
          <w:b/>
          <w:bCs/>
          <w:color w:val="C00000"/>
          <w:sz w:val="28"/>
          <w:szCs w:val="28"/>
        </w:rPr>
        <w:t xml:space="preserve">2.4. Thảo luận chính sách</w:t>
      </w:r>
    </w:p>
    <w:p>
      <w:pPr>
        <w:spacing w:after="80" w:before="80"/>
        <w:ind w:firstLine="720"/>
        <w:jc w:val="both"/>
      </w:pPr>
      <w:r>
        <w:rPr>
          <w:rFonts w:ascii="Times New Roman" w:cs="Times New Roman" w:eastAsia="Times New Roman" w:hAnsi="Times New Roman"/>
          <w:b w:val="false"/>
          <w:bCs w:val="false"/>
          <w:sz w:val="24"/>
          <w:szCs w:val="24"/>
        </w:rPr>
        <w:t xml:space="preserve">Shadow price = 1,35: mỗi tỷ VND ngân sách tăng thêm tạo ra 1,35 tỷ VND GDP gain — đây là cận trên hợp lý của chi phí cơ hội vốn công. Nếu lãi suất huy động vốn &lt; 35%, nên mở rộng ngân sách. R&amp;D có hệ số cao nhưng sàn thấp (10 nghìn tỷ) do hấp thụ ngắn hạn hạn chế và rủi ro dự án cao. Ràng buộc 35% công nghệ chiến lược (AI+R&amp;D) là tham vọng trong bối cảnh ngân sách VN ưu tiên hạ tầng giao thông và an sinh — cần lộ trình tăng dần và cơ chế PPP.</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3 — CHỈ SỐ ƯU TIÊN NGÀNH CHO 10 NGÀNH KINH TẾ VIỆT NAM</w:t>
      </w:r>
    </w:p>
    <w:p>
      <w:pPr>
        <w:pStyle w:val="Heading2"/>
        <w:spacing w:after="140" w:before="280"/>
      </w:pPr>
      <w:r>
        <w:rPr>
          <w:rFonts w:ascii="Times New Roman" w:cs="Times New Roman" w:eastAsia="Times New Roman" w:hAnsi="Times New Roman"/>
          <w:b/>
          <w:bCs/>
          <w:color w:val="C00000"/>
          <w:sz w:val="28"/>
          <w:szCs w:val="28"/>
        </w:rPr>
        <w:t xml:space="preserve">3.1. Công thức chỉ số ưu tiên</w:t>
      </w:r>
    </w:p>
    <w:p>
      <w:pPr>
        <w:spacing w:after="80" w:before="80"/>
        <w:ind w:firstLine="720"/>
        <w:jc w:val="both"/>
      </w:pPr>
      <w:r>
        <w:rPr>
          <w:rFonts w:ascii="Times New Roman" w:cs="Times New Roman" w:eastAsia="Times New Roman" w:hAnsi="Times New Roman"/>
          <w:b w:val="false"/>
          <w:bCs w:val="false"/>
          <w:sz w:val="24"/>
          <w:szCs w:val="24"/>
        </w:rPr>
        <w:t xml:space="preserve">Priorityᵢ = a₁·Growthᵢ + a₂·Productivityᵢ + a₃·Spilloverᵢ + a₄·Exportᵢ + a₅·Employmentᵢ + a₆·AIReadinessᵢ − a₇·Riskᵢ</w:t>
      </w:r>
    </w:p>
    <w:p>
      <w:pPr>
        <w:spacing w:after="80" w:before="80"/>
        <w:ind w:firstLine="720"/>
        <w:jc w:val="both"/>
      </w:pPr>
      <w:r>
        <w:rPr>
          <w:rFonts w:ascii="Times New Roman" w:cs="Times New Roman" w:eastAsia="Times New Roman" w:hAnsi="Times New Roman"/>
          <w:b w:val="false"/>
          <w:bCs w:val="false"/>
          <w:sz w:val="24"/>
          <w:szCs w:val="24"/>
        </w:rPr>
        <w:t xml:space="preserve">Trọng số mặc định: a₁=0,15; a₂=0,15; a₃=0,20; a₄=0,15; a₅=0,10; a₆=0,20; a₇=0,15. Chuẩn hóa min-max về [0,1] trước khi tính.</w:t>
      </w:r>
    </w:p>
    <w:p>
      <w:pPr>
        <w:pStyle w:val="Heading2"/>
        <w:spacing w:after="140" w:before="280"/>
      </w:pPr>
      <w:r>
        <w:rPr>
          <w:rFonts w:ascii="Times New Roman" w:cs="Times New Roman" w:eastAsia="Times New Roman" w:hAnsi="Times New Roman"/>
          <w:b/>
          <w:bCs/>
          <w:color w:val="C00000"/>
          <w:sz w:val="28"/>
          <w:szCs w:val="28"/>
        </w:rPr>
        <w:t xml:space="preserve">3.2. Kết quả xếp hạng 10 ngành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500"/>
        <w:gridCol w:w="1700"/>
        <w:gridCol w:w="1200"/>
        <w:gridCol w:w="2086"/>
      </w:tblGrid>
      <w:tr>
        <w:tc>
          <w:tcPr>
            <w:tcW w:type="dxa" w:w="54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TT</w:t>
            </w:r>
          </w:p>
        </w:tc>
        <w:tc>
          <w:tcPr>
            <w:tcW w:type="dxa" w:w="3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Ngành</w:t>
            </w:r>
          </w:p>
        </w:tc>
        <w:tc>
          <w:tcPr>
            <w:tcW w:type="dxa" w:w="17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Priority</w:t>
            </w:r>
          </w:p>
        </w:tc>
        <w:tc>
          <w:tcPr>
            <w:tcW w:type="dxa" w:w="12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AI Ready</w:t>
            </w:r>
          </w:p>
        </w:tc>
        <w:tc>
          <w:tcPr>
            <w:tcW w:type="dxa" w:w="208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Nhận xét</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CN Chế biến - Chế tạo</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0,7446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55</w:t>
            </w:r>
          </w:p>
        </w:tc>
        <w:tc>
          <w:tcPr>
            <w:tcW w:type="dxa" w:w="20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Xuất khẩu cao (290,9 tỷ USD)</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CNTT - Truyền thông</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0,5138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88</w:t>
            </w:r>
          </w:p>
        </w:tc>
        <w:tc>
          <w:tcPr>
            <w:tcW w:type="dxa" w:w="20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AI Readiness cao nhất</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Tài chính - Ngân hàng</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0,4554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72</w:t>
            </w:r>
          </w:p>
        </w:tc>
        <w:tc>
          <w:tcPr>
            <w:tcW w:type="dxa" w:w="20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Lan tỏa cao (0,85)</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Bán buôn - Bán lẻ</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0,3244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48</w:t>
            </w:r>
          </w:p>
        </w:tc>
        <w:tc>
          <w:tcPr>
            <w:tcW w:type="dxa" w:w="20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Việc làm lớn (7,8 tr)</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Logistics - Vận tải</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0,3111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42</w:t>
            </w:r>
          </w:p>
        </w:tc>
        <w:tc>
          <w:tcPr>
            <w:tcW w:type="dxa" w:w="20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Tăng trưởng 9,93%</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Giáo dục - Đào tạo</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0,1662</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38</w:t>
            </w:r>
          </w:p>
        </w:tc>
        <w:tc>
          <w:tcPr>
            <w:tcW w:type="dxa" w:w="20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Nhân lực số 2,15 tr</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Y tế</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0,1409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45</w:t>
            </w:r>
          </w:p>
        </w:tc>
        <w:tc>
          <w:tcPr>
            <w:tcW w:type="dxa" w:w="20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Rủi ro TĐH thấp (18%)</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Xây dựng</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0,1131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w:t>
            </w:r>
          </w:p>
        </w:tc>
        <w:tc>
          <w:tcPr>
            <w:tcW w:type="dxa" w:w="20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Digital Index thấp</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Nông - Lâm - Thủy sản</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0,1109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20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13,2 triệu lao động</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Khai khoáng</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0,0489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30</w:t>
            </w:r>
          </w:p>
        </w:tc>
        <w:tc>
          <w:tcPr>
            <w:tcW w:type="dxa" w:w="20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Tăng trưởng âm (-1,2%)</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3.3. Thảo luận chính sách</w:t>
      </w:r>
    </w:p>
    <w:p>
      <w:pPr>
        <w:spacing w:after="80" w:before="80"/>
        <w:ind w:firstLine="720"/>
        <w:jc w:val="both"/>
      </w:pPr>
      <w:r>
        <w:rPr>
          <w:rFonts w:ascii="Times New Roman" w:cs="Times New Roman" w:eastAsia="Times New Roman" w:hAnsi="Times New Roman"/>
          <w:b w:val="false"/>
          <w:bCs w:val="false"/>
          <w:sz w:val="24"/>
          <w:szCs w:val="24"/>
        </w:rPr>
        <w:t xml:space="preserve">Top-3 ngành ưu tiên: CN Chế biến-Chế tạo, CNTT-Truyền thông, Tài chính-Ngân hàng. Kết quả phù hợp tinh thần Nghị quyết 57-NQ/TW khi đề cao các ngành có xuất khẩu lớn và lan tỏa mạnh. Khai khoáng dù năng suất/lao động rất cao (1.290,5 tr VND) vẫn xếp cuối vì tăng trưởng âm, lan tỏa thấp (0,30) và rủi ro tự động hóa cao (55%). Phân tích độ nhạy trọng số a₆ (AI Readiness) từ 0,05 đến 0,40 cho thấy top-3 ổn định, chứng tỏ kết quả robust.</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4 — QUY HOẠCH TUYẾN TÍNH PHÂN BỔ NGÂN SÁCH SỐ NGÀNH-VÙNG</w:t>
      </w:r>
    </w:p>
    <w:p>
      <w:pPr>
        <w:pStyle w:val="Heading2"/>
        <w:spacing w:after="140" w:before="280"/>
      </w:pPr>
      <w:r>
        <w:rPr>
          <w:rFonts w:ascii="Times New Roman" w:cs="Times New Roman" w:eastAsia="Times New Roman" w:hAnsi="Times New Roman"/>
          <w:b/>
          <w:bCs/>
          <w:color w:val="C00000"/>
          <w:sz w:val="28"/>
          <w:szCs w:val="28"/>
        </w:rPr>
        <w:t xml:space="preserve">4.1. Bối cảnh và mô hình</w:t>
      </w:r>
    </w:p>
    <w:p>
      <w:pPr>
        <w:spacing w:after="80" w:before="80"/>
        <w:ind w:firstLine="720"/>
        <w:jc w:val="both"/>
      </w:pPr>
      <w:r>
        <w:rPr>
          <w:rFonts w:ascii="Times New Roman" w:cs="Times New Roman" w:eastAsia="Times New Roman" w:hAnsi="Times New Roman"/>
          <w:b w:val="false"/>
          <w:bCs w:val="false"/>
          <w:sz w:val="24"/>
          <w:szCs w:val="24"/>
        </w:rPr>
        <w:t xml:space="preserve">Bài toán phân bổ 50.000 tỷ VND ngân sách kinh tế số cho 6 vùng kinh tế-xã hội và 4 hạng mục đầu tư (I, D, AI, H) với mục tiêu tối đa GDP gain. Mô hình có 24 biến quyết định xⱼ,ᵣ ≥ 0 và 14 ràng buộc (C1–C6), bao gồm ràng buộc công bằng vùng miền (C5).</w:t>
      </w:r>
    </w:p>
    <w:p>
      <w:pPr>
        <w:pStyle w:val="Heading2"/>
        <w:spacing w:after="140" w:before="280"/>
      </w:pPr>
      <w:r>
        <w:rPr>
          <w:rFonts w:ascii="Times New Roman" w:cs="Times New Roman" w:eastAsia="Times New Roman" w:hAnsi="Times New Roman"/>
          <w:b/>
          <w:bCs/>
          <w:color w:val="C00000"/>
          <w:sz w:val="28"/>
          <w:szCs w:val="28"/>
        </w:rPr>
        <w:t xml:space="preserve">4.2. Kết quả tối 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400"/>
        <w:gridCol w:w="1400"/>
        <w:gridCol w:w="1426"/>
        <w:gridCol w:w="1500"/>
      </w:tblGrid>
      <w:tr>
        <w:tc>
          <w:tcPr>
            <w:tcW w:type="dxa" w:w="18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Vùng</w:t>
            </w:r>
          </w:p>
        </w:tc>
        <w:tc>
          <w:tcPr>
            <w:tcW w:type="dxa" w:w="1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 (tỷ)</w:t>
            </w:r>
          </w:p>
        </w:tc>
        <w:tc>
          <w:tcPr>
            <w:tcW w:type="dxa" w:w="14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 (tỷ)</w:t>
            </w:r>
          </w:p>
        </w:tc>
        <w:tc>
          <w:tcPr>
            <w:tcW w:type="dxa" w:w="14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AI (tỷ)</w:t>
            </w:r>
          </w:p>
        </w:tc>
        <w:tc>
          <w:tcPr>
            <w:tcW w:type="dxa" w:w="14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 (tỷ)</w:t>
            </w:r>
          </w:p>
        </w:tc>
        <w:tc>
          <w:tcPr>
            <w:tcW w:type="dxa" w:w="1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Tổng (tỷ)</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Trung du MN phía Bắc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9.700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2.300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12.000</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Đồng bằng sông Hồng</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5.000</w:t>
            </w:r>
          </w:p>
        </w:tc>
        <w:tc>
          <w:tcPr>
            <w:tcW w:type="dxa" w:w="14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5.000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Bắc Trung Bộ + DH</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3.800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5.000</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Tây Nguyên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12.000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12.000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Đông Nam Bộ</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5.400</w:t>
            </w:r>
          </w:p>
        </w:tc>
        <w:tc>
          <w:tcPr>
            <w:tcW w:type="dxa" w:w="14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5.400</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Đồng bằng sông CL</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4.700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5.900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10.600</w:t>
            </w:r>
          </w:p>
        </w:tc>
      </w:tr>
    </w:tbl>
    <w:p>
      <w:pPr>
        <w:spacing w:after="60" w:before="60"/>
      </w:pPr>
      <w:r>
        <w:rPr>
          <w:sz w:val="24"/>
          <w:szCs w:val="2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Z* (có ràng buộc công bằng)</w:t>
            </w:r>
          </w:p>
          <w:p>
            <w:pPr>
              <w:jc w:val="center"/>
            </w:pPr>
            <w:r>
              <w:rPr>
                <w:rFonts w:ascii="Times New Roman" w:cs="Times New Roman" w:eastAsia="Times New Roman" w:hAnsi="Times New Roman"/>
                <w:b/>
                <w:bCs/>
                <w:color w:val="9B1212"/>
                <w:sz w:val="28"/>
                <w:szCs w:val="28"/>
              </w:rPr>
              <w:t xml:space="preserve">52.485 tỷ VND</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Chi phí của công bằng vùng miền</w:t>
            </w:r>
          </w:p>
          <w:p>
            <w:pPr>
              <w:jc w:val="center"/>
            </w:pPr>
            <w:r>
              <w:rPr>
                <w:rFonts w:ascii="Times New Roman" w:cs="Times New Roman" w:eastAsia="Times New Roman" w:hAnsi="Times New Roman"/>
                <w:b/>
                <w:bCs/>
                <w:color w:val="9B1212"/>
                <w:sz w:val="24"/>
                <w:szCs w:val="24"/>
              </w:rPr>
              <w:t xml:space="preserve">16.265 tỷ VND (23,66%)</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4.3. Thảo luận chính sách</w:t>
      </w:r>
    </w:p>
    <w:p>
      <w:pPr>
        <w:spacing w:after="80" w:before="80"/>
        <w:ind w:firstLine="720"/>
        <w:jc w:val="both"/>
      </w:pPr>
      <w:r>
        <w:rPr>
          <w:rFonts w:ascii="Times New Roman" w:cs="Times New Roman" w:eastAsia="Times New Roman" w:hAnsi="Times New Roman"/>
          <w:b w:val="false"/>
          <w:bCs w:val="false"/>
          <w:sz w:val="24"/>
          <w:szCs w:val="24"/>
        </w:rPr>
        <w:t xml:space="preserve">Khi bỏ ràng buộc công bằng, vốn dồn về Đồng bằng sông Hồng và Đông Nam Bộ (hệ số AI 1,40–1,55) — Z* tăng lên 68.750 tỷ. Chi phí công bằng là 16.265 tỷ (23,66%) — mức này có thể coi là 'phí bảo hiểm' cho ổn định và gắn kết vùng miền.</w:t>
      </w:r>
    </w:p>
    <w:p>
      <w:pPr>
        <w:spacing w:after="80" w:before="80"/>
        <w:ind w:firstLine="720"/>
        <w:jc w:val="both"/>
      </w:pPr>
      <w:r>
        <w:rPr>
          <w:rFonts w:ascii="Times New Roman" w:cs="Times New Roman" w:eastAsia="Times New Roman" w:hAnsi="Times New Roman"/>
          <w:b w:val="false"/>
          <w:bCs w:val="false"/>
          <w:sz w:val="24"/>
          <w:szCs w:val="24"/>
        </w:rPr>
        <w:t xml:space="preserve">Tây Nguyên nhận ngân sách dồn vào D (12.000 tỷ) dù hệ số AI thấp (0,45) — mô hình ưu tiên số hóa cơ bản trước, đúng nguyên tắc xây nền tảng trước khi triển khai AI.</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5 — QUY HOẠCH NGUYÊN HỖN HỢP (MIP) LỰA CHỌN DỰ ÁN</w:t>
      </w:r>
    </w:p>
    <w:p>
      <w:pPr>
        <w:pStyle w:val="Heading2"/>
        <w:spacing w:after="140" w:before="280"/>
      </w:pPr>
      <w:r>
        <w:rPr>
          <w:rFonts w:ascii="Times New Roman" w:cs="Times New Roman" w:eastAsia="Times New Roman" w:hAnsi="Times New Roman"/>
          <w:b/>
          <w:bCs/>
          <w:color w:val="C00000"/>
          <w:sz w:val="28"/>
          <w:szCs w:val="28"/>
        </w:rPr>
        <w:t xml:space="preserve">5.1. Bối cảnh</w:t>
      </w:r>
    </w:p>
    <w:p>
      <w:pPr>
        <w:spacing w:after="80" w:before="80"/>
        <w:ind w:firstLine="720"/>
        <w:jc w:val="both"/>
      </w:pPr>
      <w:r>
        <w:rPr>
          <w:rFonts w:ascii="Times New Roman" w:cs="Times New Roman" w:eastAsia="Times New Roman" w:hAnsi="Times New Roman"/>
          <w:b w:val="false"/>
          <w:bCs w:val="false"/>
          <w:sz w:val="24"/>
          <w:szCs w:val="24"/>
        </w:rPr>
        <w:t xml:space="preserve">Lựa chọn tối ưu 7–11 dự án từ 15 ứng cử viên chuyển đổi số quốc gia với ngân sách 5 năm 80.000 tỷ VND, ràng buộc ngân sách năm 1–2 là 40.000 tỷ, các ràng buộc loại trừ và tiên quyết về kỹ thuật/chính sách.</w:t>
      </w:r>
    </w:p>
    <w:p>
      <w:pPr>
        <w:pStyle w:val="Heading2"/>
        <w:spacing w:after="140" w:before="280"/>
      </w:pPr>
      <w:r>
        <w:rPr>
          <w:rFonts w:ascii="Times New Roman" w:cs="Times New Roman" w:eastAsia="Times New Roman" w:hAnsi="Times New Roman"/>
          <w:b/>
          <w:bCs/>
          <w:color w:val="C00000"/>
          <w:sz w:val="28"/>
          <w:szCs w:val="28"/>
        </w:rPr>
        <w:t xml:space="preserve">5.2. Kết quả MIP — 9 dự án được lựa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400"/>
        <w:gridCol w:w="1600"/>
        <w:gridCol w:w="1600"/>
        <w:gridCol w:w="1886"/>
      </w:tblGrid>
      <w:tr>
        <w:tc>
          <w:tcPr>
            <w:tcW w:type="dxa" w:w="54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34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dự án</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phí (tỷ)</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NPV (tỷ)</w:t>
            </w:r>
          </w:p>
        </w:tc>
        <w:tc>
          <w:tcPr>
            <w:tcW w:type="dxa" w:w="188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Lĩnh vực</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P2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TT dữ liệu quốc gia phía Nam</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11.500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20.800</w:t>
            </w:r>
          </w:p>
        </w:tc>
        <w:tc>
          <w:tcPr>
            <w:tcW w:type="dxa" w:w="18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Hạ tầng</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P5</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Cổng dịch vụ công v3</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3.200</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6.800</w:t>
            </w:r>
          </w:p>
        </w:tc>
        <w:tc>
          <w:tcPr>
            <w:tcW w:type="dxa" w:w="18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Chính phủ số</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P7</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Giáo dục số K-12 toàn quốc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12.200</w:t>
            </w:r>
          </w:p>
        </w:tc>
        <w:tc>
          <w:tcPr>
            <w:tcW w:type="dxa" w:w="18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Giáo dục</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P8</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TT AI quốc gia + Supercomputing</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15.000</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28.500</w:t>
            </w:r>
          </w:p>
        </w:tc>
        <w:tc>
          <w:tcPr>
            <w:tcW w:type="dxa" w:w="18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AI</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P9</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Sandbox tài chính số (fintech)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5.800</w:t>
            </w:r>
          </w:p>
        </w:tc>
        <w:tc>
          <w:tcPr>
            <w:tcW w:type="dxa" w:w="18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Tài chính</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P10</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Logistics thông minh + Cảng số</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7.200</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13.800</w:t>
            </w:r>
          </w:p>
        </w:tc>
        <w:tc>
          <w:tcPr>
            <w:tcW w:type="dxa" w:w="18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Logistics</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P12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Đào tạo 50.000 kỹ sư AI/bán dẫn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8.500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16.200</w:t>
            </w:r>
          </w:p>
        </w:tc>
        <w:tc>
          <w:tcPr>
            <w:tcW w:type="dxa" w:w="18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Nhân lực</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P14</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An ninh mạng quốc gia (SOC)</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3.800</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7.500</w:t>
            </w:r>
          </w:p>
        </w:tc>
        <w:tc>
          <w:tcPr>
            <w:tcW w:type="dxa" w:w="18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An ninh (bắt buộc)</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P15</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Open Data + Dữ liệu mở quốc gia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3.800</w:t>
            </w:r>
          </w:p>
        </w:tc>
        <w:tc>
          <w:tcPr>
            <w:tcW w:type="dxa" w:w="18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Dữ liệu</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Tổng</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9 dự án được chọn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59.700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115.400</w:t>
            </w:r>
          </w:p>
        </w:tc>
        <w:tc>
          <w:tcPr>
            <w:tcW w:type="dxa" w:w="18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NPV/CP = 1,93</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5.3. Thảo luận chính sách</w:t>
      </w:r>
    </w:p>
    <w:p>
      <w:pPr>
        <w:spacing w:after="80" w:before="80"/>
        <w:ind w:firstLine="720"/>
        <w:jc w:val="both"/>
      </w:pPr>
      <w:r>
        <w:rPr>
          <w:rFonts w:ascii="Times New Roman" w:cs="Times New Roman" w:eastAsia="Times New Roman" w:hAnsi="Times New Roman"/>
          <w:b w:val="false"/>
          <w:bCs w:val="false"/>
          <w:sz w:val="24"/>
          <w:szCs w:val="24"/>
        </w:rPr>
        <w:t xml:space="preserve">P15 (Open Data) được chọn dù NPV nhỏ (3.800 tỷ) — điểm khác với kết quả mặc định (không có P15). Ràng buộc loại trừ P1/P2 được xử lý: chọn P2 (phía Nam). P8 (AI) kéo theo P12 (đào tạo kỹ sư) theo ràng buộc tiên quyết y₈ ≤ y₁₂ — phản ánh logic 'nhân lực trước AI'. P13 (KCN bán dẫn, 20.000 tỷ) không được chọn do vượt ngân sách trong kịch bản 80.000 tỷ.</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6 — TOPSIS XẾP HẠNG 6 VÙNG KINH TẾ VIỆT NAM</w:t>
      </w:r>
    </w:p>
    <w:p>
      <w:pPr>
        <w:pStyle w:val="Heading2"/>
        <w:spacing w:after="140" w:before="280"/>
      </w:pPr>
      <w:r>
        <w:rPr>
          <w:rFonts w:ascii="Times New Roman" w:cs="Times New Roman" w:eastAsia="Times New Roman" w:hAnsi="Times New Roman"/>
          <w:b/>
          <w:bCs/>
          <w:color w:val="C00000"/>
          <w:sz w:val="28"/>
          <w:szCs w:val="28"/>
        </w:rPr>
        <w:t xml:space="preserve">6.1. Phương pháp TOPSIS</w:t>
      </w:r>
    </w:p>
    <w:p>
      <w:pPr>
        <w:spacing w:after="80" w:before="80"/>
        <w:ind w:firstLine="720"/>
        <w:jc w:val="both"/>
      </w:pPr>
      <w:r>
        <w:rPr>
          <w:rFonts w:ascii="Times New Roman" w:cs="Times New Roman" w:eastAsia="Times New Roman" w:hAnsi="Times New Roman"/>
          <w:b w:val="false"/>
          <w:bCs w:val="false"/>
          <w:sz w:val="24"/>
          <w:szCs w:val="24"/>
        </w:rPr>
        <w:t xml:space="preserve">5 bước: (1) Chuẩn hóa vector rᵢⱼ = xᵢⱼ/√Σxᵢⱼ²; (2) Xây dựng ma trận có trọng số vᵢⱼ = wⱼ·rᵢⱼ; (3) Xác định A* (lý tưởng) và A⁻ (phản lý tưởng); (4) Tính khoảng cách Euclide Sᵢ* và Sᵢ⁻; (5) Tính Cᵢ* = Sᵢ⁻/(Sᵢ*+Sᵢ⁻), xếp hạng theo Cᵢ* giảm dần.</w:t>
      </w:r>
    </w:p>
    <w:p>
      <w:pPr>
        <w:spacing w:after="80" w:before="80"/>
        <w:ind w:firstLine="720"/>
        <w:jc w:val="both"/>
      </w:pPr>
      <w:r>
        <w:rPr>
          <w:rFonts w:ascii="Times New Roman" w:cs="Times New Roman" w:eastAsia="Times New Roman" w:hAnsi="Times New Roman"/>
          <w:b w:val="false"/>
          <w:bCs w:val="false"/>
          <w:sz w:val="24"/>
          <w:szCs w:val="24"/>
        </w:rPr>
        <w:t xml:space="preserve">Trọng số chuyên gia: w = [0,10; 0,10; 0,15; 0,20; 0,15; 0,15; 0,05; 0,10] cho 8 tiêu chí (GRDP/người, FDI, Digital Index, AI Readiness, LĐ ĐT, R&amp;D, Internet, Gini).</w:t>
      </w:r>
    </w:p>
    <w:p>
      <w:pPr>
        <w:pStyle w:val="Heading2"/>
        <w:spacing w:after="140" w:before="280"/>
      </w:pPr>
      <w:r>
        <w:rPr>
          <w:rFonts w:ascii="Times New Roman" w:cs="Times New Roman" w:eastAsia="Times New Roman" w:hAnsi="Times New Roman"/>
          <w:b/>
          <w:bCs/>
          <w:color w:val="C00000"/>
          <w:sz w:val="28"/>
          <w:szCs w:val="28"/>
        </w:rPr>
        <w:t xml:space="preserve">6.2. Kết quả xếp hạng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500"/>
        <w:gridCol w:w="1500"/>
        <w:gridCol w:w="1500"/>
        <w:gridCol w:w="1986"/>
      </w:tblGrid>
      <w:tr>
        <w:tc>
          <w:tcPr>
            <w:tcW w:type="dxa" w:w="54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TT</w:t>
            </w:r>
          </w:p>
        </w:tc>
        <w:tc>
          <w:tcPr>
            <w:tcW w:type="dxa" w:w="3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Vùng</w:t>
            </w:r>
          </w:p>
        </w:tc>
        <w:tc>
          <w:tcPr>
            <w:tcW w:type="dxa" w:w="1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TOPSIS (CG)</w:t>
            </w:r>
          </w:p>
        </w:tc>
        <w:tc>
          <w:tcPr>
            <w:tcW w:type="dxa" w:w="1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AI Readiness</w:t>
            </w:r>
          </w:p>
        </w:tc>
        <w:tc>
          <w:tcPr>
            <w:tcW w:type="dxa" w:w="198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Khuyến nghị</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Đông Nam Bộ</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0,9402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75</w:t>
            </w:r>
          </w:p>
        </w:tc>
        <w:tc>
          <w:tcPr>
            <w:tcW w:type="dxa" w:w="19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Trung tâm AI quốc gia #1</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Đồng bằng sông Hồng</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0,8981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68</w:t>
            </w:r>
          </w:p>
        </w:tc>
        <w:tc>
          <w:tcPr>
            <w:tcW w:type="dxa" w:w="19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Trung tâm AI quốc gia #2</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Bắc Trung Bộ + DH Trung Bộ</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0,3597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40</w:t>
            </w:r>
          </w:p>
        </w:tc>
        <w:tc>
          <w:tcPr>
            <w:tcW w:type="dxa" w:w="19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Trung tâm AI vùng đệm</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Đồng bằng sông Cửu Long</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0,1710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30</w:t>
            </w:r>
          </w:p>
        </w:tc>
        <w:tc>
          <w:tcPr>
            <w:tcW w:type="dxa" w:w="19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Ưu tiên số hóa nông nghiệp</w:t>
            </w:r>
          </w:p>
        </w:tc>
      </w:tr>
      <w:tr>
        <w:tc>
          <w:tcPr>
            <w:tcW w:type="dxa" w:w="5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Trung du Miền núi phía Bắc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0,0993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198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Xây dựng hạ tầng cơ bản</w:t>
            </w:r>
          </w:p>
        </w:tc>
      </w:tr>
      <w:tr>
        <w:tc>
          <w:tcPr>
            <w:tcW w:type="dxa" w:w="5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Tây Nguyên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0,0312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18</w:t>
            </w:r>
          </w:p>
        </w:tc>
        <w:tc>
          <w:tcPr>
            <w:tcW w:type="dxa" w:w="198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Ưu tiên kết nối internet</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6.3. Thảo luận chính sách</w:t>
      </w:r>
    </w:p>
    <w:p>
      <w:pPr>
        <w:spacing w:after="80" w:before="80"/>
        <w:ind w:firstLine="720"/>
        <w:jc w:val="both"/>
      </w:pPr>
      <w:r>
        <w:rPr>
          <w:rFonts w:ascii="Times New Roman" w:cs="Times New Roman" w:eastAsia="Times New Roman" w:hAnsi="Times New Roman"/>
          <w:b w:val="false"/>
          <w:bCs w:val="false"/>
          <w:sz w:val="24"/>
          <w:szCs w:val="24"/>
        </w:rPr>
        <w:t xml:space="preserve">Đông Nam Bộ và Đồng bằng sông Hồng dẫn đầu với khoảng cách lớn so với 4 vùng còn lại — phản ánh sự phân cực rõ rệt trong sẵn sàng AI. Khi dùng trọng số Entropy (khách quan), FDI và R&amp;D được gán trọng số cao hơn → Đồng bằng sông Hồng có thể tăng hạng so với Đông Nam Bộ do lợi thế FDI vượt trội.</w:t>
      </w:r>
    </w:p>
    <w:p>
      <w:pPr>
        <w:spacing w:after="80" w:before="80"/>
        <w:ind w:firstLine="720"/>
        <w:jc w:val="both"/>
      </w:pPr>
      <w:r>
        <w:rPr>
          <w:rFonts w:ascii="Times New Roman" w:cs="Times New Roman" w:eastAsia="Times New Roman" w:hAnsi="Times New Roman"/>
          <w:b w:val="false"/>
          <w:bCs w:val="false"/>
          <w:sz w:val="24"/>
          <w:szCs w:val="24"/>
        </w:rPr>
        <w:t xml:space="preserve">Để phân bổ 3 trung tâm AI quốc gia (QĐ 127/QĐ-TTg): chọn Đông Nam Bộ, Đồng bằng sông Hồng và Bắc Trung Bộ+DH Trung Bộ để đảm bảo phân bổ địa lý 3 miền Bắc-Trung-Nam, cân bằng tiêu chí kỹ thuật và địa-chính trị.</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7 — TỐI ƯU ĐA MỤC TIÊU PARETO VỚI NSGA-II</w:t>
      </w:r>
    </w:p>
    <w:p>
      <w:pPr>
        <w:pStyle w:val="Heading2"/>
        <w:spacing w:after="140" w:before="280"/>
      </w:pPr>
      <w:r>
        <w:rPr>
          <w:rFonts w:ascii="Times New Roman" w:cs="Times New Roman" w:eastAsia="Times New Roman" w:hAnsi="Times New Roman"/>
          <w:b/>
          <w:bCs/>
          <w:color w:val="C00000"/>
          <w:sz w:val="28"/>
          <w:szCs w:val="28"/>
        </w:rPr>
        <w:t xml:space="preserve">7.1. Bốn mục tiêu xung đột</w:t>
      </w:r>
    </w:p>
    <w:p>
      <w:pPr>
        <w:spacing w:after="80" w:before="80"/>
        <w:ind w:firstLine="720"/>
        <w:jc w:val="both"/>
      </w:pPr>
      <w:r>
        <w:rPr>
          <w:rFonts w:ascii="Times New Roman" w:cs="Times New Roman" w:eastAsia="Times New Roman" w:hAnsi="Times New Roman"/>
          <w:b w:val="false"/>
          <w:bCs w:val="false"/>
          <w:sz w:val="24"/>
          <w:szCs w:val="24"/>
        </w:rPr>
        <w:t xml:space="preserve">f₁: max Tăng trưởng GDP = Σᵣ Σⱼ βⱼ,ᵣ · xⱼ,ᵣ</w:t>
      </w:r>
    </w:p>
    <w:p>
      <w:pPr>
        <w:spacing w:after="80" w:before="80"/>
        <w:ind w:firstLine="720"/>
        <w:jc w:val="both"/>
      </w:pPr>
      <w:r>
        <w:rPr>
          <w:rFonts w:ascii="Times New Roman" w:cs="Times New Roman" w:eastAsia="Times New Roman" w:hAnsi="Times New Roman"/>
          <w:b w:val="false"/>
          <w:bCs w:val="false"/>
          <w:sz w:val="24"/>
          <w:szCs w:val="24"/>
        </w:rPr>
        <w:t xml:space="preserve">f₂: min Bất bình đẳng vùng G(x) ≈ MAD ngân sách vùng</w:t>
      </w:r>
    </w:p>
    <w:p>
      <w:pPr>
        <w:spacing w:after="80" w:before="80"/>
        <w:ind w:firstLine="720"/>
        <w:jc w:val="both"/>
      </w:pPr>
      <w:r>
        <w:rPr>
          <w:rFonts w:ascii="Times New Roman" w:cs="Times New Roman" w:eastAsia="Times New Roman" w:hAnsi="Times New Roman"/>
          <w:b w:val="false"/>
          <w:bCs w:val="false"/>
          <w:sz w:val="24"/>
          <w:szCs w:val="24"/>
        </w:rPr>
        <w:t xml:space="preserve">f₃: min Phát thải = Σᵣ eᵣ·(xᴵ,ᵣ + xᴬᴵ,ᵣ)</w:t>
      </w:r>
    </w:p>
    <w:p>
      <w:pPr>
        <w:spacing w:after="80" w:before="80"/>
        <w:ind w:firstLine="720"/>
        <w:jc w:val="both"/>
      </w:pPr>
      <w:r>
        <w:rPr>
          <w:rFonts w:ascii="Times New Roman" w:cs="Times New Roman" w:eastAsia="Times New Roman" w:hAnsi="Times New Roman"/>
          <w:b w:val="false"/>
          <w:bCs w:val="false"/>
          <w:sz w:val="24"/>
          <w:szCs w:val="24"/>
        </w:rPr>
        <w:t xml:space="preserve">f₄: min Rủi ro dữ liệu = Σᵣ ρᵣ·xᴬᴵ,ᵣ − Σᵣ σᵣ·xᴴ,ᵣ</w:t>
      </w:r>
    </w:p>
    <w:p>
      <w:pPr>
        <w:pStyle w:val="Heading2"/>
        <w:spacing w:after="140" w:before="280"/>
      </w:pPr>
      <w:r>
        <w:rPr>
          <w:rFonts w:ascii="Times New Roman" w:cs="Times New Roman" w:eastAsia="Times New Roman" w:hAnsi="Times New Roman"/>
          <w:b/>
          <w:bCs/>
          <w:color w:val="C00000"/>
          <w:sz w:val="28"/>
          <w:szCs w:val="28"/>
        </w:rPr>
        <w:t xml:space="preserve">7.2. Kết quả và phân tích Pareto</w:t>
      </w:r>
    </w:p>
    <w:p>
      <w:pPr>
        <w:spacing w:after="80" w:before="80"/>
        <w:ind w:firstLine="720"/>
        <w:jc w:val="both"/>
      </w:pPr>
      <w:r>
        <w:rPr>
          <w:rFonts w:ascii="Times New Roman" w:cs="Times New Roman" w:eastAsia="Times New Roman" w:hAnsi="Times New Roman"/>
          <w:b w:val="false"/>
          <w:bCs w:val="false"/>
          <w:sz w:val="24"/>
          <w:szCs w:val="24"/>
        </w:rPr>
        <w:t xml:space="preserve">Thuật toán NSGA-II (pop_size=100, n_gen=200) tạo ra ~200 nghiệm Pareto. Mặt Pareto 3D (f₁ × f₂ × f₃) cho thấy đánh đổi rõ: nghiệm GDP cao nhất luôn kèm bất bình đẳng cao hơn 15–25%. Nghiệm thỏa hiệp TOPSIS với trọng số (0,40; 0,25; 0,20; 0,15): GDP gain ≈ 62.000–65.000 tỷ VND.</w:t>
      </w:r>
    </w:p>
    <w:p>
      <w:pPr>
        <w:pStyle w:val="Heading2"/>
        <w:spacing w:after="140" w:before="280"/>
      </w:pPr>
      <w:r>
        <w:rPr>
          <w:rFonts w:ascii="Times New Roman" w:cs="Times New Roman" w:eastAsia="Times New Roman" w:hAnsi="Times New Roman"/>
          <w:b/>
          <w:bCs/>
          <w:color w:val="C00000"/>
          <w:sz w:val="28"/>
          <w:szCs w:val="28"/>
        </w:rPr>
        <w:t xml:space="preserve">7.3. Thảo luận chính sách</w:t>
      </w:r>
    </w:p>
    <w:p>
      <w:pPr>
        <w:spacing w:after="80" w:before="80"/>
        <w:ind w:firstLine="720"/>
        <w:jc w:val="both"/>
      </w:pPr>
      <w:r>
        <w:rPr>
          <w:rFonts w:ascii="Times New Roman" w:cs="Times New Roman" w:eastAsia="Times New Roman" w:hAnsi="Times New Roman"/>
          <w:b w:val="false"/>
          <w:bCs w:val="false"/>
          <w:sz w:val="24"/>
          <w:szCs w:val="24"/>
        </w:rPr>
        <w:t xml:space="preserve">Đánh đổi tăng trưởng-bao trùm phản ánh cơ cấu kinh tế phân cực: hai cực tăng trưởng (Đồng bằng sông Hồng, Đông Nam Bộ) hút vốn AI. Trọng số (0,40; 0,25; 0,20; 0,15) cân bằng nhưng để phù hợp cam kết COP26, nên tăng trọng số môi trường f₃ lên ~0,25. NSGA-II cung cấp bộ phương án cho nhà hoạch định lựa chọn — không thay thế quyết định chính trị.</w:t>
      </w:r>
    </w:p>
    <w:p>
      <w:pPr>
        <w:spacing w:after="60" w:before="60"/>
      </w:pPr>
      <w:r>
        <w:rPr>
          <w:sz w:val="24"/>
          <w:szCs w:val="24"/>
        </w:rPr>
        <w:t xml:space="preserve"> </w:t>
      </w:r>
    </w:p>
    <w:p>
      <w:pPr>
        <w:pStyle w:val="Heading1"/>
        <w:spacing w:after="200" w:before="360"/>
      </w:pPr>
      <w:r>
        <w:rPr>
          <w:rFonts w:ascii="Times New Roman" w:cs="Times New Roman" w:eastAsia="Times New Roman" w:hAnsi="Times New Roman"/>
          <w:b/>
          <w:bCs/>
          <w:color w:val="9B1212"/>
          <w:sz w:val="32"/>
          <w:szCs w:val="32"/>
        </w:rPr>
        <w:t xml:space="preserve">BÀI 8 — TỐI ƯU ĐỘNG PHÂN BỔ LIÊN THỜI GIAN 2026–2035</w:t>
      </w:r>
    </w:p>
    <w:p>
      <w:pPr>
        <w:pStyle w:val="Heading2"/>
        <w:spacing w:after="140" w:before="280"/>
      </w:pPr>
      <w:r>
        <w:rPr>
          <w:rFonts w:ascii="Times New Roman" w:cs="Times New Roman" w:eastAsia="Times New Roman" w:hAnsi="Times New Roman"/>
          <w:b/>
          <w:bCs/>
          <w:color w:val="C00000"/>
          <w:sz w:val="28"/>
          <w:szCs w:val="28"/>
        </w:rPr>
        <w:t xml:space="preserve">8.1. Mô hình tối ưu hóa phúc lợi liên thời gian</w:t>
      </w:r>
    </w:p>
    <w:p>
      <w:pPr>
        <w:spacing w:after="80" w:before="80"/>
        <w:ind w:firstLine="720"/>
        <w:jc w:val="both"/>
      </w:pPr>
      <w:r>
        <w:rPr>
          <w:rFonts w:ascii="Times New Roman" w:cs="Times New Roman" w:eastAsia="Times New Roman" w:hAnsi="Times New Roman"/>
          <w:b w:val="false"/>
          <w:bCs w:val="false"/>
          <w:sz w:val="24"/>
          <w:szCs w:val="24"/>
        </w:rPr>
        <w:t xml:space="preserve">Tối đa hóa: Σ ρᵗ⁻²⁰²⁶ · U(Cₜ) với U(Cₜ) = ln(Cₜ), ρ = 0,97, T = 10 (2026–2035).</w:t>
      </w:r>
    </w:p>
    <w:p>
      <w:pPr>
        <w:spacing w:after="80" w:before="80"/>
        <w:ind w:firstLine="720"/>
        <w:jc w:val="both"/>
      </w:pPr>
      <w:r>
        <w:rPr>
          <w:rFonts w:ascii="Times New Roman" w:cs="Times New Roman" w:eastAsia="Times New Roman" w:hAnsi="Times New Roman"/>
          <w:b w:val="false"/>
          <w:bCs w:val="false"/>
          <w:sz w:val="24"/>
          <w:szCs w:val="24"/>
        </w:rPr>
        <w:t xml:space="preserve">Phương trình động học: Kₜ₊₁ = (1–δK)Kₜ + IK,ₜ; tương tự D, AI, H với khấu hao δD=0,12, δAI=0,15. TFP nội sinh hóa theo Aₜ₊₁ = Aₜ(1+φ₁Dₜ+φ₂AIₜ+φ₃Hₜ).</w:t>
      </w:r>
    </w:p>
    <w:p>
      <w:pPr>
        <w:pStyle w:val="Heading2"/>
        <w:spacing w:after="140" w:before="280"/>
      </w:pPr>
      <w:r>
        <w:rPr>
          <w:rFonts w:ascii="Times New Roman" w:cs="Times New Roman" w:eastAsia="Times New Roman" w:hAnsi="Times New Roman"/>
          <w:b/>
          <w:bCs/>
          <w:color w:val="C00000"/>
          <w:sz w:val="28"/>
          <w:szCs w:val="28"/>
        </w:rPr>
        <w:t xml:space="preserve">8.2. Kết quả chính</w:t>
      </w:r>
    </w:p>
    <w:p>
      <w:pPr>
        <w:spacing w:after="80" w:before="80"/>
        <w:ind w:firstLine="720"/>
        <w:jc w:val="both"/>
      </w:pPr>
      <w:r>
        <w:rPr>
          <w:rFonts w:ascii="Times New Roman" w:cs="Times New Roman" w:eastAsia="Times New Roman" w:hAnsi="Times New Roman"/>
          <w:b w:val="false"/>
          <w:bCs w:val="false"/>
          <w:sz w:val="24"/>
          <w:szCs w:val="24"/>
        </w:rPr>
        <w:t xml:space="preserve">Chiến lược front-load (đầu tư mạnh 3 năm đầu) cho Welfare tổng cao hơn chiến lược trải đều. Quỹ đạo tối ưu: đầu tư dồn vào K và D trong 2026–2028, sau đó chuyển sang AI và H khi nền tảng số đã được xây.</w:t>
      </w:r>
    </w:p>
    <w:p>
      <w:pPr>
        <w:spacing w:after="80" w:before="80"/>
        <w:ind w:firstLine="720"/>
        <w:jc w:val="both"/>
      </w:pPr>
      <w:r>
        <w:rPr>
          <w:rFonts w:ascii="Times New Roman" w:cs="Times New Roman" w:eastAsia="Times New Roman" w:hAnsi="Times New Roman"/>
          <w:b w:val="false"/>
          <w:bCs w:val="false"/>
          <w:sz w:val="24"/>
          <w:szCs w:val="24"/>
        </w:rPr>
        <w:t xml:space="preserve">Cú sốc 2028 (giảm 8% sản lượng — kiểu bão Yagi): mô hình điều chỉnh giảm IK và tăng IH để ổn định C, phục hồi trong 2–3 năm. H đóng vai trò 'bộ đệm' hấp thụ cú sốc.</w:t>
      </w:r>
    </w:p>
    <w:p>
      <w:pPr>
        <w:pStyle w:val="Heading2"/>
        <w:spacing w:after="140" w:before="280"/>
      </w:pPr>
      <w:r>
        <w:rPr>
          <w:rFonts w:ascii="Times New Roman" w:cs="Times New Roman" w:eastAsia="Times New Roman" w:hAnsi="Times New Roman"/>
          <w:b/>
          <w:bCs/>
          <w:color w:val="C00000"/>
          <w:sz w:val="28"/>
          <w:szCs w:val="28"/>
        </w:rPr>
        <w:t xml:space="preserve">8.3. Thảo luận</w:t>
      </w:r>
    </w:p>
    <w:p>
      <w:pPr>
        <w:spacing w:after="80" w:before="80"/>
        <w:ind w:firstLine="720"/>
        <w:jc w:val="both"/>
      </w:pPr>
      <w:r>
        <w:rPr>
          <w:rFonts w:ascii="Times New Roman" w:cs="Times New Roman" w:eastAsia="Times New Roman" w:hAnsi="Times New Roman"/>
          <w:b w:val="false"/>
          <w:bCs w:val="false"/>
          <w:sz w:val="24"/>
          <w:szCs w:val="24"/>
        </w:rPr>
        <w:t xml:space="preserve">ρ = 0,97 (dài hạn) so với ρ = 0,90 (ngắn hạn): khi giảm ρ, mô hình ưu tiên tiêu dùng hiện tại và giảm đầu tư dài hạn — đây là lý do các chính phủ nhiệm kỳ ngắn thường dưới đầu tư vào R&amp;D. Đề xuất: thiết kế cơ chế tài khóa dài hạn (quỹ đầu tư 20 năm) tách khỏi chu kỳ ngân sách hàng năm.</w:t>
      </w:r>
    </w:p>
    <w:p>
      <w:pPr>
        <w:spacing w:after="60" w:before="60"/>
      </w:pPr>
      <w:r>
        <w:rPr>
          <w:sz w:val="24"/>
          <w:szCs w:val="24"/>
        </w:rPr>
        <w:t xml:space="preserve"> </w:t>
      </w:r>
    </w:p>
    <w:p>
      <w:pPr>
        <w:pStyle w:val="Heading1"/>
        <w:spacing w:after="200" w:before="360"/>
      </w:pPr>
      <w:r>
        <w:rPr>
          <w:rFonts w:ascii="Times New Roman" w:cs="Times New Roman" w:eastAsia="Times New Roman" w:hAnsi="Times New Roman"/>
          <w:b/>
          <w:bCs/>
          <w:color w:val="9B1212"/>
          <w:sz w:val="32"/>
          <w:szCs w:val="32"/>
        </w:rPr>
        <w:t xml:space="preserve">BÀI 9 — TÁC ĐỘNG AI TỚI THỊ TRƯỜNG LAO ĐỘNG VIỆT NAM</w:t>
      </w:r>
    </w:p>
    <w:p>
      <w:pPr>
        <w:pStyle w:val="Heading2"/>
        <w:spacing w:after="140" w:before="280"/>
      </w:pPr>
      <w:r>
        <w:rPr>
          <w:rFonts w:ascii="Times New Roman" w:cs="Times New Roman" w:eastAsia="Times New Roman" w:hAnsi="Times New Roman"/>
          <w:b/>
          <w:bCs/>
          <w:color w:val="C00000"/>
          <w:sz w:val="28"/>
          <w:szCs w:val="28"/>
        </w:rPr>
        <w:t xml:space="preserve">9.1. Mô hình NetJob</w:t>
      </w:r>
    </w:p>
    <w:p>
      <w:pPr>
        <w:spacing w:after="80" w:before="80"/>
        <w:ind w:firstLine="720"/>
        <w:jc w:val="both"/>
      </w:pPr>
      <w:r>
        <w:rPr>
          <w:rFonts w:ascii="Times New Roman" w:cs="Times New Roman" w:eastAsia="Times New Roman" w:hAnsi="Times New Roman"/>
          <w:b w:val="false"/>
          <w:bCs w:val="false"/>
          <w:sz w:val="24"/>
          <w:szCs w:val="24"/>
        </w:rPr>
        <w:t xml:space="preserve">NetJobᵢ = NewJobᴬᴵᵢ + UpgradeJobᵢ − DisplacedJobᴬᵘᵗᵒᵐᵃᵗⁱᵒⁿᵢ với ràng buộc DisplacedJobᵢ ≤ RetrainingCapacityᵢ.</w:t>
      </w:r>
    </w:p>
    <w:p>
      <w:pPr>
        <w:pStyle w:val="Heading2"/>
        <w:spacing w:after="140" w:before="280"/>
      </w:pPr>
      <w:r>
        <w:rPr>
          <w:rFonts w:ascii="Times New Roman" w:cs="Times New Roman" w:eastAsia="Times New Roman" w:hAnsi="Times New Roman"/>
          <w:b/>
          <w:bCs/>
          <w:color w:val="C00000"/>
          <w:sz w:val="28"/>
          <w:szCs w:val="28"/>
        </w:rPr>
        <w:t xml:space="preserve">9.2. Kết quả tối ưu (Ngân sách 30.000 tỷ VND)</w:t>
      </w:r>
    </w:p>
    <w:p>
      <w:pPr>
        <w:spacing w:after="80" w:before="80"/>
        <w:ind w:firstLine="720"/>
        <w:jc w:val="both"/>
      </w:pPr>
      <w:r>
        <w:rPr>
          <w:rFonts w:ascii="Times New Roman" w:cs="Times New Roman" w:eastAsia="Times New Roman" w:hAnsi="Times New Roman"/>
          <w:b w:val="false"/>
          <w:bCs w:val="false"/>
          <w:sz w:val="24"/>
          <w:szCs w:val="24"/>
        </w:rPr>
        <w:t xml:space="preserve">Mô hình dồn toàn bộ ngân sách vào nhân lực số Giáo dục-Đào tạo (xH = 30.000 tỷ, hệ số tạo việc b₁ = 55) để tối đa NetJob ròng. Tổng NetJob tạo thêm: 1.650.000 việc làm. Điều này phản ánh bản chất của mô hình: đào tạo lại là nền tảng để các ngành khác hấp thụ AI hiệu quả.</w:t>
      </w:r>
    </w:p>
    <w:p>
      <w:pPr>
        <w:pStyle w:val="Heading2"/>
        <w:spacing w:after="140" w:before="280"/>
      </w:pPr>
      <w:r>
        <w:rPr>
          <w:rFonts w:ascii="Times New Roman" w:cs="Times New Roman" w:eastAsia="Times New Roman" w:hAnsi="Times New Roman"/>
          <w:b/>
          <w:bCs/>
          <w:color w:val="C00000"/>
          <w:sz w:val="28"/>
          <w:szCs w:val="28"/>
        </w:rPr>
        <w:t xml:space="preserve">9.3. Thảo luận</w:t>
      </w:r>
    </w:p>
    <w:p>
      <w:pPr>
        <w:spacing w:after="80" w:before="80"/>
        <w:ind w:firstLine="720"/>
        <w:jc w:val="both"/>
      </w:pPr>
      <w:r>
        <w:rPr>
          <w:rFonts w:ascii="Times New Roman" w:cs="Times New Roman" w:eastAsia="Times New Roman" w:hAnsi="Times New Roman"/>
          <w:b w:val="false"/>
          <w:bCs w:val="false"/>
          <w:sz w:val="24"/>
          <w:szCs w:val="24"/>
        </w:rPr>
        <w:t xml:space="preserve">Ngành Tài chính-Ngân hàng (rủi ro 52%, hệ số tạo việc mới 45,8) cần chiến lược song song: vừa đầu tư AI vừa đào tạo lại lao động chuyển sang vai trò giá trị cao. Ngành Nông-Lâm-Thủy sản có 13,2 triệu lao động nhưng hệ số tạo việc AI thấp (8,5) — nên ưu tiên xH (nâng kỹ năng) thay vì xAI để tránh dịch chuyển lao động ồ ạt.</w:t>
      </w:r>
    </w:p>
    <w:p>
      <w:pPr>
        <w:spacing w:after="80" w:before="80"/>
        <w:ind w:firstLine="720"/>
        <w:jc w:val="both"/>
      </w:pPr>
      <w:r>
        <w:rPr>
          <w:rFonts w:ascii="Times New Roman" w:cs="Times New Roman" w:eastAsia="Times New Roman" w:hAnsi="Times New Roman"/>
          <w:b w:val="false"/>
          <w:bCs w:val="false"/>
          <w:sz w:val="24"/>
          <w:szCs w:val="24"/>
        </w:rPr>
        <w:t xml:space="preserve">Ràng buộc 'tốc độ tự động hóa ≤ năng lực đào tạo lại': Displaced ≤ RetrainingCapacity (d₁·xH). Đề xuất thêm ràng buộc trần 5% lao động/ngành như lưới an sinh: trong kịch bản có ràng buộc này, ngành CN Chế biến và Tài chính bị hạn chế tốc độ tự động hóa — bài toán vẫn khả thi.</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10 — QUY HOẠCH NGẪU NHIÊN HAI GIAI ĐOẠN</w:t>
      </w:r>
    </w:p>
    <w:p>
      <w:pPr>
        <w:pStyle w:val="Heading2"/>
        <w:spacing w:after="140" w:before="280"/>
      </w:pPr>
      <w:r>
        <w:rPr>
          <w:rFonts w:ascii="Times New Roman" w:cs="Times New Roman" w:eastAsia="Times New Roman" w:hAnsi="Times New Roman"/>
          <w:b/>
          <w:bCs/>
          <w:color w:val="C00000"/>
          <w:sz w:val="28"/>
          <w:szCs w:val="28"/>
        </w:rPr>
        <w:t xml:space="preserve">10.1. Cấu trúc kịch bản và mô hình 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226"/>
      </w:tblGrid>
      <w:tr>
        <w:tc>
          <w:tcPr>
            <w:tcW w:type="dxa" w:w="2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Kịch bản</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TT Toàn cầu (%)</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FDI VN (tỷ $)</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Xuất khẩu (%)</w:t>
            </w:r>
          </w:p>
        </w:tc>
        <w:tc>
          <w:tcPr>
            <w:tcW w:type="dxa" w:w="22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Xác suất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s1 — Lạc quan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32,0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12,0</w:t>
            </w:r>
          </w:p>
        </w:tc>
        <w:tc>
          <w:tcPr>
            <w:tcW w:type="dxa" w:w="2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0,30</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s2 — Cơ sở</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2,8</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27,0</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8,0</w:t>
            </w:r>
          </w:p>
        </w:tc>
        <w:tc>
          <w:tcPr>
            <w:tcW w:type="dxa" w:w="22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0,45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s3 — Bi quan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3,0</w:t>
            </w:r>
          </w:p>
        </w:tc>
        <w:tc>
          <w:tcPr>
            <w:tcW w:type="dxa" w:w="2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0,20</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s4 — Khủng hoảng</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12,0</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-5,0</w:t>
            </w:r>
          </w:p>
        </w:tc>
        <w:tc>
          <w:tcPr>
            <w:tcW w:type="dxa" w:w="22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0,05</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10.2. Quyết định first-stage và kết quả SP</w:t>
      </w:r>
    </w:p>
    <w:p>
      <w:pPr>
        <w:spacing w:after="80" w:before="80"/>
        <w:ind w:firstLine="720"/>
        <w:jc w:val="both"/>
      </w:pPr>
      <w:r>
        <w:rPr>
          <w:rFonts w:ascii="Times New Roman" w:cs="Times New Roman" w:eastAsia="Times New Roman" w:hAnsi="Times New Roman"/>
          <w:b w:val="false"/>
          <w:bCs w:val="false"/>
          <w:sz w:val="24"/>
          <w:szCs w:val="24"/>
        </w:rPr>
        <w:t xml:space="preserve">Giai đoạn 1 (here-and-now): phân bổ tối đa 65.000 tỷ VND. Giai đoạn 2 (wait-and-see): điều chỉnh 15.000 tỷ VND dự phòng theo kịch bản. Ràng buộc: yᴬᴵˢ ≤ 0,5·xH (mở rộng AI phụ thuộc nền nhân lực đã tạo).</w:t>
      </w:r>
    </w:p>
    <w:p>
      <w:pPr>
        <w:spacing w:after="80" w:before="80"/>
        <w:ind w:firstLine="720"/>
        <w:jc w:val="both"/>
      </w:pPr>
      <w:r>
        <w:rPr>
          <w:rFonts w:ascii="Times New Roman" w:cs="Times New Roman" w:eastAsia="Times New Roman" w:hAnsi="Times New Roman"/>
          <w:b w:val="false"/>
          <w:bCs w:val="false"/>
          <w:sz w:val="24"/>
          <w:szCs w:val="24"/>
        </w:rPr>
        <w:t xml:space="preserve">Kết quả SP: quyết định tối ưu first-stage dồn nhiều hơn vào H (nhân lực số) so với lời giải xác định (EV) — H là 'hàng hóa bảo hiểm' vì hệ số tăng lên 1,10 trong kịch bản khủng hoảng s4. VSS &gt; 0: tư duy xác suất tạo giá trị thực so với chỉ dùng kịch bản trung bình.</w:t>
      </w:r>
    </w:p>
    <w:p>
      <w:pPr>
        <w:pStyle w:val="Heading2"/>
        <w:spacing w:after="140" w:before="280"/>
      </w:pPr>
      <w:r>
        <w:rPr>
          <w:rFonts w:ascii="Times New Roman" w:cs="Times New Roman" w:eastAsia="Times New Roman" w:hAnsi="Times New Roman"/>
          <w:b/>
          <w:bCs/>
          <w:color w:val="C00000"/>
          <w:sz w:val="28"/>
          <w:szCs w:val="28"/>
        </w:rPr>
        <w:t xml:space="preserve">10.3. Thảo luận</w:t>
      </w:r>
    </w:p>
    <w:p>
      <w:pPr>
        <w:spacing w:after="80" w:before="80"/>
        <w:ind w:firstLine="720"/>
        <w:jc w:val="both"/>
      </w:pPr>
      <w:r>
        <w:rPr>
          <w:rFonts w:ascii="Times New Roman" w:cs="Times New Roman" w:eastAsia="Times New Roman" w:hAnsi="Times New Roman"/>
          <w:b w:val="false"/>
          <w:bCs w:val="false"/>
          <w:sz w:val="24"/>
          <w:szCs w:val="24"/>
        </w:rPr>
        <w:t xml:space="preserve">Với độ mở thương mại VN ≈180% GDP, bất định lớn → VSS càng quan trọng. Bài học COVID-19 và bão Yagi: VN cần coi đầu tư nhân lực số như khoản bảo hiểm chiến lược, không nên tối thiểu hóa. EVPI cho biết giá trị thông tin hoàn hảo — cơ sở đánh giá chi phí hệ thống dự báo, cảnh báo sớm.</w:t>
      </w:r>
    </w:p>
    <w:p>
      <w:pPr>
        <w:spacing w:after="60" w:before="60"/>
      </w:pPr>
      <w:r>
        <w:rPr>
          <w:sz w:val="24"/>
          <w:szCs w:val="24"/>
        </w:rPr>
        <w:t xml:space="preserve"> </w:t>
      </w:r>
    </w:p>
    <w:p>
      <w:pPr>
        <w:pStyle w:val="Heading1"/>
        <w:spacing w:after="200" w:before="360"/>
      </w:pPr>
      <w:r>
        <w:rPr>
          <w:rFonts w:ascii="Times New Roman" w:cs="Times New Roman" w:eastAsia="Times New Roman" w:hAnsi="Times New Roman"/>
          <w:b/>
          <w:bCs/>
          <w:color w:val="9B1212"/>
          <w:sz w:val="32"/>
          <w:szCs w:val="32"/>
        </w:rPr>
        <w:t xml:space="preserve">BÀI 11 — HỌC TĂNG CƯỜNG (Q-LEARNING) CHO CHÍNH SÁCH THÍCH NGHI</w:t>
      </w:r>
    </w:p>
    <w:p>
      <w:pPr>
        <w:pStyle w:val="Heading2"/>
        <w:spacing w:after="140" w:before="280"/>
      </w:pPr>
      <w:r>
        <w:rPr>
          <w:rFonts w:ascii="Times New Roman" w:cs="Times New Roman" w:eastAsia="Times New Roman" w:hAnsi="Times New Roman"/>
          <w:b/>
          <w:bCs/>
          <w:color w:val="C00000"/>
          <w:sz w:val="28"/>
          <w:szCs w:val="28"/>
        </w:rPr>
        <w:t xml:space="preserve">11.1. Mô hình MDP</w:t>
      </w:r>
    </w:p>
    <w:p>
      <w:pPr>
        <w:spacing w:after="80" w:before="80"/>
        <w:ind w:firstLine="720"/>
        <w:jc w:val="both"/>
      </w:pPr>
      <w:r>
        <w:rPr>
          <w:rFonts w:ascii="Times New Roman" w:cs="Times New Roman" w:eastAsia="Times New Roman" w:hAnsi="Times New Roman"/>
          <w:b w:val="false"/>
          <w:bCs w:val="false"/>
          <w:sz w:val="24"/>
          <w:szCs w:val="24"/>
        </w:rPr>
        <w:t xml:space="preserve">Không gian trạng thái: sₜ = (GDP growth, Digital Index, AI Capacity, Unemployment risk), mỗi chiều 3 mức → 3⁴ = 81 trạng thái. Không gian hành động: 5 chiến lược phân bổ (a0: Truyền thống, a1: Cân bằng, a2: Số hóa nhanh, a3: AI dẫn dắt, a4: Bao trùm). Phần thưởng: R = 0,40·ΔGDP − 0,25·Δunemploy − 0,20·CyberRisk − 0,15·Emission.</w:t>
      </w:r>
    </w:p>
    <w:p>
      <w:pPr>
        <w:pStyle w:val="Heading2"/>
        <w:spacing w:after="140" w:before="280"/>
      </w:pPr>
      <w:r>
        <w:rPr>
          <w:rFonts w:ascii="Times New Roman" w:cs="Times New Roman" w:eastAsia="Times New Roman" w:hAnsi="Times New Roman"/>
          <w:b/>
          <w:bCs/>
          <w:color w:val="C00000"/>
          <w:sz w:val="28"/>
          <w:szCs w:val="28"/>
        </w:rPr>
        <w:t xml:space="preserve">11.2. Kết quả training (10.000 episodes)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4000"/>
      </w:tblGrid>
      <w:tr>
        <w:tc>
          <w:tcPr>
            <w:tcW w:type="dxa" w:w="25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Trạng thái (G,D,AI,U)</w:t>
            </w:r>
          </w:p>
        </w:tc>
        <w:tc>
          <w:tcPr>
            <w:tcW w:type="dxa" w:w="25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π* hành động</w:t>
            </w:r>
          </w:p>
        </w:tc>
        <w:tc>
          <w:tcPr>
            <w:tcW w:type="dxa" w:w="40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Giải thích</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[1,1,0,1] — VN 2026</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Cân bằng (a1)</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Xây nền tảng đồng đều</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[0,0,0,0] — Tất cả thấp</w:t>
            </w:r>
          </w:p>
        </w:tc>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Bao trùm (a4)</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Ổn định việc làm trước</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[2,2,2,2] — Tất cả cao</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AI dẫn dắt (a3)</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Khai thác nền tảng sẵn có</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[0,1,2,1] — Hỗn hợp</w:t>
            </w:r>
          </w:p>
        </w:tc>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Cân bằng (a1)</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Điều chỉnh cân bằng</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11.3. Thảo luận</w:t>
      </w:r>
    </w:p>
    <w:p>
      <w:pPr>
        <w:spacing w:after="80" w:before="80"/>
        <w:ind w:firstLine="720"/>
        <w:jc w:val="both"/>
      </w:pPr>
      <w:r>
        <w:rPr>
          <w:rFonts w:ascii="Times New Roman" w:cs="Times New Roman" w:eastAsia="Times New Roman" w:hAnsi="Times New Roman"/>
          <w:b w:val="false"/>
          <w:bCs w:val="false"/>
          <w:sz w:val="24"/>
          <w:szCs w:val="24"/>
        </w:rPr>
        <w:t xml:space="preserve">Khi nền kinh tế ở trạng thái xấu (GDP, D, AI thấp; U cao), π* chọn a4 (Bao trùm) — ổn định việc làm và xây nền tảng nhân lực trước khi đầu tư AI. Khi ở trạng thái tốt (mọi chỉ số cao), π* chuyển sang a3 (AI dẫn dắt) — khai thác nền tảng đã xây. Đây là hành vi học thích nghi phù hợp chu kỳ phát triển.</w:t>
      </w:r>
    </w:p>
    <w:p>
      <w:pPr>
        <w:spacing w:after="80" w:before="80"/>
        <w:ind w:firstLine="720"/>
        <w:jc w:val="both"/>
      </w:pPr>
      <w:r>
        <w:rPr>
          <w:rFonts w:ascii="Times New Roman" w:cs="Times New Roman" w:eastAsia="Times New Roman" w:hAnsi="Times New Roman"/>
          <w:b w:val="false"/>
          <w:bCs w:val="false"/>
          <w:sz w:val="24"/>
          <w:szCs w:val="24"/>
        </w:rPr>
        <w:t xml:space="preserve">Tích hợp π* vào hoạch định: sử dụng như công cụ tư vấn (đề xuất hành động + giải thích lý do), đặt trong quy trình thẩm định của hội đồng chính sách. Con người giữ quyền phủ quyết — AI minh bạch hóa đánh đổi, không tự động ra quyết định chính trị.</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BÀI 12 — ĐỒ ÁN TÍCH HỢP: NGUYÊN MẪU AIDEOM-VN</w:t>
      </w:r>
    </w:p>
    <w:p>
      <w:pPr>
        <w:pStyle w:val="Heading2"/>
        <w:spacing w:after="140" w:before="280"/>
      </w:pPr>
      <w:r>
        <w:rPr>
          <w:rFonts w:ascii="Times New Roman" w:cs="Times New Roman" w:eastAsia="Times New Roman" w:hAnsi="Times New Roman"/>
          <w:b/>
          <w:bCs/>
          <w:color w:val="C00000"/>
          <w:sz w:val="28"/>
          <w:szCs w:val="28"/>
        </w:rPr>
        <w:t xml:space="preserve">12.1. Kiến trúc hệ thống 6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100"/>
        <w:gridCol w:w="2100"/>
        <w:gridCol w:w="2526"/>
      </w:tblGrid>
      <w:tr>
        <w:tc>
          <w:tcPr>
            <w:tcW w:type="dxa" w:w="7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Module</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w:t>
            </w:r>
          </w:p>
        </w:tc>
        <w:tc>
          <w:tcPr>
            <w:tcW w:type="dxa" w:w="21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Đầu vào</w:t>
            </w:r>
          </w:p>
        </w:tc>
        <w:tc>
          <w:tcPr>
            <w:tcW w:type="dxa" w:w="21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Đầu ra</w:t>
            </w:r>
          </w:p>
        </w:tc>
        <w:tc>
          <w:tcPr>
            <w:tcW w:type="dxa" w:w="25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Kỹ thuật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M1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Dự báo kinh tế</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Macro 2020-2025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GDP, TFP 2026-2030</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Cobb-Douglas (Bài 1)</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M2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Đánh giá sẵn sàng số</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Sectors, Regions</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Digital/AI Readiness map</w:t>
            </w:r>
          </w:p>
        </w:tc>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TOPSIS + Entropy (Bài 6)</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M3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Tối ưu phân bổ</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Budget, β-matrix</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Phân bổ ngành-vùng-thời gian</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LP (Bài 4) + DP (Bài 8)</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M4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Mô phỏng lao động</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AI, H plans</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NetJob từng ngành</w:t>
            </w:r>
          </w:p>
        </w:tc>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LP + Markov (Bài 9)</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M5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Đánh giá rủi ro</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Risk parameters</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Cyber, Env, Dependency</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NSGA-II (Bài 7) + SP (Bài 10)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M6</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Dashboard ra QĐ</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Outputs M1-M5</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Kịch bản, cảnh báo, khuyến nghị</w:t>
            </w:r>
          </w:p>
        </w:tc>
        <w:tc>
          <w:tcPr>
            <w:tcW w:type="dxa" w:w="25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Streamlit + Plotly (Bài 12)</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12.2. So sánh 5 kịch bản chính sách 2030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1826"/>
      </w:tblGrid>
      <w:tr>
        <w:tc>
          <w:tcPr>
            <w:tcW w:type="dxa" w:w="22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Kịch bản</w:t>
            </w:r>
          </w:p>
        </w:tc>
        <w:tc>
          <w:tcPr>
            <w:tcW w:type="dxa" w:w="18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Phân bổ chính</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GDP 2030 (ng.tỷ)</w:t>
            </w:r>
          </w:p>
        </w:tc>
        <w:tc>
          <w:tcPr>
            <w:tcW w:type="dxa" w:w="1600"/>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 2030 (%)</w:t>
            </w:r>
          </w:p>
        </w:tc>
        <w:tc>
          <w:tcPr>
            <w:tcW w:type="dxa" w:w="1826"/>
            <w:tcBorders>
              <w:top w:val="single" w:color="AAAAAA" w:sz="1"/>
              <w:left w:val="single" w:color="AAAAAA" w:sz="1"/>
              <w:bottom w:val="single" w:color="AAAAAA" w:sz="1"/>
              <w:right w:val="single" w:color="AAAAAA" w:sz="1"/>
            </w:tcBorders>
            <w:shd w:fill="9B121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 2030 (%)</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S1 — Truyền thống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70%K+10%D/AI/H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16,82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21,4</w:t>
            </w:r>
          </w:p>
        </w:tc>
        <w:tc>
          <w:tcPr>
            <w:tcW w:type="dxa" w:w="1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35,0</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S2 — Số hóa nhanh</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25%K+45%D+15%AI+15%H</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17,64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39,3</w:t>
            </w:r>
          </w:p>
        </w:tc>
        <w:tc>
          <w:tcPr>
            <w:tcW w:type="dxa" w:w="18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36,5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S3 — AI dẫn dắt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20%K+20%D+45%AI+15%H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17,95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28,3</w:t>
            </w:r>
          </w:p>
        </w:tc>
        <w:tc>
          <w:tcPr>
            <w:tcW w:type="dxa" w:w="1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36,5</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sz w:val="22"/>
                <w:szCs w:val="22"/>
              </w:rPr>
              <w:t xml:space="preserve">S4 — Bao trùm số</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30%K+20%D+10%AI+40%H</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17,12</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28,3</w:t>
            </w:r>
          </w:p>
        </w:tc>
        <w:tc>
          <w:tcPr>
            <w:tcW w:type="dxa" w:w="1826"/>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sz w:val="22"/>
                <w:szCs w:val="22"/>
              </w:rPr>
              <w:t xml:space="preserve">42,0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2"/>
                <w:szCs w:val="22"/>
              </w:rPr>
              <w:t xml:space="preserve">S5 — Cân bằng (AIDEOM)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35%K+25%D+20%AI+20%H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17,82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30,3</w:t>
            </w:r>
          </w:p>
        </w:tc>
        <w:tc>
          <w:tcPr>
            <w:tcW w:type="dxa" w:w="1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2"/>
                <w:szCs w:val="22"/>
              </w:rPr>
              <w:t xml:space="preserve">39,0</w:t>
            </w:r>
          </w:p>
        </w:tc>
      </w:tr>
    </w:tbl>
    <w:p>
      <w:pPr>
        <w:spacing w:after="60" w:before="60"/>
      </w:pPr>
      <w:r>
        <w:rPr>
          <w:sz w:val="24"/>
          <w:szCs w:val="24"/>
        </w:rPr>
        <w:t xml:space="preserve"> </w:t>
      </w:r>
    </w:p>
    <w:p>
      <w:pPr>
        <w:pStyle w:val="Heading2"/>
        <w:spacing w:after="140" w:before="280"/>
      </w:pPr>
      <w:r>
        <w:rPr>
          <w:rFonts w:ascii="Times New Roman" w:cs="Times New Roman" w:eastAsia="Times New Roman" w:hAnsi="Times New Roman"/>
          <w:b/>
          <w:bCs/>
          <w:color w:val="C00000"/>
          <w:sz w:val="28"/>
          <w:szCs w:val="28"/>
        </w:rPr>
        <w:t xml:space="preserve">12.3. Khuyến nghị chính sách tổng hợp</w:t>
      </w:r>
    </w:p>
    <w:p>
      <w:pPr>
        <w:spacing w:after="80" w:before="80"/>
        <w:ind w:firstLine="720"/>
        <w:jc w:val="both"/>
      </w:pPr>
      <w:r>
        <w:rPr>
          <w:rFonts w:ascii="Times New Roman" w:cs="Times New Roman" w:eastAsia="Times New Roman" w:hAnsi="Times New Roman"/>
          <w:b w:val="false"/>
          <w:bCs w:val="false"/>
          <w:sz w:val="24"/>
          <w:szCs w:val="24"/>
        </w:rPr>
        <w:t xml:space="preserve">Kịch bản S5 Cân bằng (AIDEOM-VN) là lựa chọn tối ưu: GDP 2030 đạt 17,82 nghìn tỷ VND — cao gần kịch bản AI dẫn dắt S3 nhưng giữ nhân lực số (H=39%) và bao trùm tốt hơn. Phù hợp Nghị quyết 57-NQ/TW và cam kết COP26.</w:t>
      </w:r>
    </w:p>
    <w:p>
      <w:pPr>
        <w:spacing w:after="80" w:before="80"/>
        <w:ind w:firstLine="720"/>
        <w:jc w:val="both"/>
      </w:pPr>
      <w:r>
        <w:rPr>
          <w:rFonts w:ascii="Times New Roman" w:cs="Times New Roman" w:eastAsia="Times New Roman" w:hAnsi="Times New Roman"/>
          <w:b w:val="false"/>
          <w:bCs w:val="false"/>
          <w:sz w:val="24"/>
          <w:szCs w:val="24"/>
        </w:rPr>
        <w:t xml:space="preserve">Ba trụ cột hành động ưu tiên: (1) Nhân lực số đi trước — đào tạo 50k kỹ sư AI/bán dẫn để tăng năng lực hấp thụ; (2) Hạ tầng &amp; dữ liệu phủ vùng yếu để thu hẹp khoảng cách số; (3) Lưới an sinh lao động cho ngành rủi ro cao (chế biến, tài chính, bán lẻ). Dashboard Streamlit (app.py) triển khai đầy đủ 12 bài với tương tác thời gian thực — truy cập tại: https://github.com/bach2610/datdo</w:t>
      </w:r>
    </w:p>
    <w:p>
      <w:pPr>
        <w:pStyle w:val="Heading2"/>
        <w:spacing w:after="140" w:before="280"/>
      </w:pPr>
      <w:r>
        <w:rPr>
          <w:rFonts w:ascii="Times New Roman" w:cs="Times New Roman" w:eastAsia="Times New Roman" w:hAnsi="Times New Roman"/>
          <w:b/>
          <w:bCs/>
          <w:color w:val="C00000"/>
          <w:sz w:val="28"/>
          <w:szCs w:val="28"/>
        </w:rPr>
        <w:t xml:space="preserve">12.4. Cảnh báo rủi ro tự động hóa</w:t>
      </w:r>
    </w:p>
    <w:p>
      <w:pPr>
        <w:spacing w:after="80" w:before="80"/>
        <w:ind w:firstLine="720"/>
        <w:jc w:val="both"/>
      </w:pPr>
      <w:r>
        <w:rPr>
          <w:rFonts w:ascii="Times New Roman" w:cs="Times New Roman" w:eastAsia="Times New Roman" w:hAnsi="Times New Roman"/>
          <w:b w:val="false"/>
          <w:bCs w:val="false"/>
          <w:sz w:val="24"/>
          <w:szCs w:val="24"/>
        </w:rPr>
        <w:t xml:space="preserve">4 ngành cần ưu tiên đào tạo lại ngay: Khai khoáng (55%), Tài chính-Ngân hàng (52%), CN Chế biến (42%), Bán buôn-Bán lẻ (38%). Tổng lao động có nguy cơ cao: ~20 triệu người. Cần kích hoạt chương trình đào tạo lại quốc gia và hệ thống bảo hiểm thất nghiệp linh hoạt.</w:t>
      </w:r>
    </w:p>
    <w:p>
      <w:pPr>
        <w:spacing w:after="0" w:before="0"/>
      </w:pPr>
      <w:r>
        <w:br w:type="page"/>
      </w:r>
    </w:p>
    <w:p>
      <w:pPr>
        <w:pStyle w:val="Heading1"/>
        <w:spacing w:after="200" w:before="360"/>
      </w:pPr>
      <w:r>
        <w:rPr>
          <w:rFonts w:ascii="Times New Roman" w:cs="Times New Roman" w:eastAsia="Times New Roman" w:hAnsi="Times New Roman"/>
          <w:b/>
          <w:bCs/>
          <w:color w:val="9B1212"/>
          <w:sz w:val="32"/>
          <w:szCs w:val="32"/>
        </w:rPr>
        <w:t xml:space="preserve">KẾT LUẬN</w:t>
      </w:r>
    </w:p>
    <w:p>
      <w:pPr>
        <w:spacing w:after="80" w:before="80"/>
        <w:ind w:firstLine="720"/>
        <w:jc w:val="both"/>
      </w:pPr>
      <w:r>
        <w:rPr>
          <w:rFonts w:ascii="Times New Roman" w:cs="Times New Roman" w:eastAsia="Times New Roman" w:hAnsi="Times New Roman"/>
          <w:b w:val="false"/>
          <w:bCs w:val="false"/>
          <w:sz w:val="24"/>
          <w:szCs w:val="24"/>
        </w:rPr>
        <w:t xml:space="preserve">Báo cáo đã trình bày đầy đủ 12 bài toán mô hình ra quyết định, từ hàm sản xuất Cobb-Douglas mở rộng đến học tăng cường Q-learning, áp dụng nhất quán trên bộ dữ liệu thực tế Việt Nam 2020–2025. Hệ thống AIDEOM-VN được triển khai thành web app Streamlit hoàn chỉnh với dashboard 4 tab, cho phép phân tích độ nhạy tương tác theo thời gian thực.</w:t>
      </w:r>
    </w:p>
    <w:p>
      <w:pPr>
        <w:spacing w:after="80" w:before="80"/>
        <w:ind w:firstLine="720"/>
        <w:jc w:val="both"/>
      </w:pPr>
      <w:r>
        <w:rPr>
          <w:rFonts w:ascii="Times New Roman" w:cs="Times New Roman" w:eastAsia="Times New Roman" w:hAnsi="Times New Roman"/>
          <w:b w:val="false"/>
          <w:bCs w:val="false"/>
          <w:sz w:val="24"/>
          <w:szCs w:val="24"/>
        </w:rPr>
        <w:t xml:space="preserve">Những đóng góp kỹ thuật chính: (i) Tích hợp 6 module mô hình hóa liền mạch từ dự báo kinh tế đến học tăng cường; (ii) Áp dụng NSGA-II (Pareto) để lượng hóa đánh đổi giữa 4 mục tiêu chính sách; (iii) Mô hình quy hoạch ngẫu nhiên 2 giai đoạn làm rõ giá trị của tư duy xác suất (VSS &gt; 0) trong môi trường bất định cao.</w:t>
      </w:r>
    </w:p>
    <w:p>
      <w:pPr>
        <w:spacing w:after="80" w:before="80"/>
        <w:ind w:firstLine="720"/>
        <w:jc w:val="both"/>
      </w:pPr>
      <w:r>
        <w:rPr>
          <w:rFonts w:ascii="Times New Roman" w:cs="Times New Roman" w:eastAsia="Times New Roman" w:hAnsi="Times New Roman"/>
          <w:b w:val="false"/>
          <w:bCs w:val="false"/>
          <w:sz w:val="24"/>
          <w:szCs w:val="24"/>
        </w:rPr>
        <w:t xml:space="preserve">Những hạn chế và hướng mở rộng: (i) Hàm sản xuất Cobb-Douglas giả định lợi suất không đổi theo quy mô — có thể mở rộng sang CGE hoặc DSGE-AI để có cân bằng tổng thể; (ii) Dữ liệu được làm tròn cho mục đích giảng dạy — khi viết luận văn/bài báo cần truy xuất số liệu gốc từ GSO; (iii) Môi trường RL đơn giản hóa — có thể mở rộng thành Multi-Agent RL.</w:t>
      </w:r>
    </w:p>
    <w:p>
      <w:pPr>
        <w:spacing w:after="80" w:before="80"/>
        <w:ind w:firstLine="720"/>
        <w:jc w:val="both"/>
      </w:pPr>
      <w:r>
        <w:rPr>
          <w:rFonts w:ascii="Times New Roman" w:cs="Times New Roman" w:eastAsia="Times New Roman" w:hAnsi="Times New Roman"/>
          <w:b w:val="false"/>
          <w:bCs w:val="false"/>
          <w:sz w:val="24"/>
          <w:szCs w:val="24"/>
        </w:rPr>
        <w:t xml:space="preserve">Kết quả nghiên cứu khẳng định: phát triển kinh tế số bền vững của Việt Nam đến 2030 đòi hỏi chiến lược cân bằng — không chỉ tối đa tăng trưởng mà phải đồng thời bảo đảm bao trùm vùng miền, chuyển đổi xanh và an sinh lao động trong kỷ nguyên AI.</w:t>
      </w:r>
    </w:p>
    <w:p>
      <w:pPr>
        <w:spacing w:after="60" w:before="60"/>
      </w:pPr>
      <w:r>
        <w:rPr>
          <w:sz w:val="24"/>
          <w:szCs w:val="24"/>
        </w:rPr>
        <w:t xml:space="preserve"> </w:t>
      </w:r>
    </w:p>
    <w:p>
      <w:pPr>
        <w:pStyle w:val="Heading1"/>
        <w:spacing w:after="200" w:before="360"/>
      </w:pPr>
      <w:r>
        <w:rPr>
          <w:rFonts w:ascii="Times New Roman" w:cs="Times New Roman" w:eastAsia="Times New Roman" w:hAnsi="Times New Roman"/>
          <w:b/>
          <w:bCs/>
          <w:color w:val="9B1212"/>
          <w:sz w:val="32"/>
          <w:szCs w:val="32"/>
        </w:rPr>
        <w:t xml:space="preserve">TÀI LIỆU THAM KHẢO</w:t>
      </w:r>
    </w:p>
    <w:p>
      <w:pPr>
        <w:pStyle w:val="ListParagraph"/>
        <w:numPr>
          <w:ilvl w:val="0"/>
          <w:numId w:val="2"/>
        </w:numPr>
        <w:spacing w:after="60" w:before="60"/>
      </w:pPr>
      <w:r>
        <w:rPr>
          <w:rFonts w:ascii="Times New Roman" w:cs="Times New Roman" w:eastAsia="Times New Roman" w:hAnsi="Times New Roman"/>
          <w:sz w:val="22"/>
          <w:szCs w:val="22"/>
        </w:rPr>
        <w:t xml:space="preserve">Bộ Chính trị (2024). Nghị quyết 57-NQ/TW ngày 22/12/2024 về đột phá phát triển KH-CN, ĐMST và CĐS quốc gia.</w:t>
      </w:r>
    </w:p>
    <w:p>
      <w:pPr>
        <w:pStyle w:val="ListParagraph"/>
        <w:numPr>
          <w:ilvl w:val="0"/>
          <w:numId w:val="2"/>
        </w:numPr>
        <w:spacing w:after="60" w:before="60"/>
      </w:pPr>
      <w:r>
        <w:rPr>
          <w:rFonts w:ascii="Times New Roman" w:cs="Times New Roman" w:eastAsia="Times New Roman" w:hAnsi="Times New Roman"/>
          <w:sz w:val="22"/>
          <w:szCs w:val="22"/>
        </w:rPr>
        <w:t xml:space="preserve">Thủ tướng Chính phủ (2020). QĐ 749/QĐ-TTg về Chương trình CĐS quốc gia đến 2025, định hướng 2030.</w:t>
      </w:r>
    </w:p>
    <w:p>
      <w:pPr>
        <w:pStyle w:val="ListParagraph"/>
        <w:numPr>
          <w:ilvl w:val="0"/>
          <w:numId w:val="2"/>
        </w:numPr>
        <w:spacing w:after="60" w:before="60"/>
      </w:pPr>
      <w:r>
        <w:rPr>
          <w:rFonts w:ascii="Times New Roman" w:cs="Times New Roman" w:eastAsia="Times New Roman" w:hAnsi="Times New Roman"/>
          <w:sz w:val="22"/>
          <w:szCs w:val="22"/>
        </w:rPr>
        <w:t xml:space="preserve">Thủ tướng Chính phủ (2021). QĐ 127/QĐ-TTg về Chiến lược quốc gia phát triển AI đến 2030.</w:t>
      </w:r>
    </w:p>
    <w:p>
      <w:pPr>
        <w:pStyle w:val="ListParagraph"/>
        <w:numPr>
          <w:ilvl w:val="0"/>
          <w:numId w:val="2"/>
        </w:numPr>
        <w:spacing w:after="60" w:before="60"/>
      </w:pPr>
      <w:r>
        <w:rPr>
          <w:rFonts w:ascii="Times New Roman" w:cs="Times New Roman" w:eastAsia="Times New Roman" w:hAnsi="Times New Roman"/>
          <w:sz w:val="22"/>
          <w:szCs w:val="22"/>
        </w:rPr>
        <w:t xml:space="preserve">Thủ tướng Chính phủ (2022). QĐ 411/QĐ-TTg về Chiến lược kinh tế số và xã hội số đến 2025, định hướng 2030.</w:t>
      </w:r>
    </w:p>
    <w:p>
      <w:pPr>
        <w:pStyle w:val="ListParagraph"/>
        <w:numPr>
          <w:ilvl w:val="0"/>
          <w:numId w:val="2"/>
        </w:numPr>
        <w:spacing w:after="60" w:before="60"/>
      </w:pPr>
      <w:r>
        <w:rPr>
          <w:rFonts w:ascii="Times New Roman" w:cs="Times New Roman" w:eastAsia="Times New Roman" w:hAnsi="Times New Roman"/>
          <w:sz w:val="22"/>
          <w:szCs w:val="22"/>
        </w:rPr>
        <w:t xml:space="preserve">Tổng cục Thống kê (2026). Niên giám thống kê 2025. NSO, Hà Nội.</w:t>
      </w:r>
    </w:p>
    <w:p>
      <w:pPr>
        <w:pStyle w:val="ListParagraph"/>
        <w:numPr>
          <w:ilvl w:val="0"/>
          <w:numId w:val="2"/>
        </w:numPr>
        <w:spacing w:after="60" w:before="60"/>
      </w:pPr>
      <w:r>
        <w:rPr>
          <w:rFonts w:ascii="Times New Roman" w:cs="Times New Roman" w:eastAsia="Times New Roman" w:hAnsi="Times New Roman"/>
          <w:sz w:val="22"/>
          <w:szCs w:val="22"/>
        </w:rPr>
        <w:t xml:space="preserve">Solow, R. M. (1956). A Contribution to the Theory of Economic Growth. QJE, 70(1), 65–94.</w:t>
      </w:r>
    </w:p>
    <w:p>
      <w:pPr>
        <w:pStyle w:val="ListParagraph"/>
        <w:numPr>
          <w:ilvl w:val="0"/>
          <w:numId w:val="2"/>
        </w:numPr>
        <w:spacing w:after="60" w:before="60"/>
      </w:pPr>
      <w:r>
        <w:rPr>
          <w:rFonts w:ascii="Times New Roman" w:cs="Times New Roman" w:eastAsia="Times New Roman" w:hAnsi="Times New Roman"/>
          <w:sz w:val="22"/>
          <w:szCs w:val="22"/>
        </w:rPr>
        <w:t xml:space="preserve">Boyd, S. &amp; Vandenberghe, L. (2004). Convex Optimization. Cambridge University Press.</w:t>
      </w:r>
    </w:p>
    <w:p>
      <w:pPr>
        <w:pStyle w:val="ListParagraph"/>
        <w:numPr>
          <w:ilvl w:val="0"/>
          <w:numId w:val="2"/>
        </w:numPr>
        <w:spacing w:after="60" w:before="60"/>
      </w:pPr>
      <w:r>
        <w:rPr>
          <w:rFonts w:ascii="Times New Roman" w:cs="Times New Roman" w:eastAsia="Times New Roman" w:hAnsi="Times New Roman"/>
          <w:sz w:val="22"/>
          <w:szCs w:val="22"/>
        </w:rPr>
        <w:t xml:space="preserve">Deb, K. et al. (2002). A Fast and Elitist Multiobjective Genetic Algorithm: NSGA-II. IEEE TEC, 6(2), 182–197.</w:t>
      </w:r>
    </w:p>
    <w:p>
      <w:pPr>
        <w:pStyle w:val="ListParagraph"/>
        <w:numPr>
          <w:ilvl w:val="0"/>
          <w:numId w:val="2"/>
        </w:numPr>
        <w:spacing w:after="60" w:before="60"/>
      </w:pPr>
      <w:r>
        <w:rPr>
          <w:rFonts w:ascii="Times New Roman" w:cs="Times New Roman" w:eastAsia="Times New Roman" w:hAnsi="Times New Roman"/>
          <w:sz w:val="22"/>
          <w:szCs w:val="22"/>
        </w:rPr>
        <w:t xml:space="preserve">Birge, J. R. &amp; Louveaux, F. (2011). Introduction to Stochastic Programming (2nd ed.). Springer.</w:t>
      </w:r>
    </w:p>
    <w:p>
      <w:pPr>
        <w:pStyle w:val="ListParagraph"/>
        <w:numPr>
          <w:ilvl w:val="0"/>
          <w:numId w:val="2"/>
        </w:numPr>
        <w:spacing w:after="60" w:before="60"/>
      </w:pPr>
      <w:r>
        <w:rPr>
          <w:rFonts w:ascii="Times New Roman" w:cs="Times New Roman" w:eastAsia="Times New Roman" w:hAnsi="Times New Roman"/>
          <w:sz w:val="22"/>
          <w:szCs w:val="22"/>
        </w:rPr>
        <w:t xml:space="preserve">Sutton, R. S. &amp; Barto, A. G. (2018). Reinforcement Learning: An Introduction (2nd ed.). MIT Press.</w:t>
      </w:r>
    </w:p>
    <w:p>
      <w:pPr>
        <w:pStyle w:val="ListParagraph"/>
        <w:numPr>
          <w:ilvl w:val="0"/>
          <w:numId w:val="2"/>
        </w:numPr>
        <w:spacing w:after="60" w:before="60"/>
      </w:pPr>
      <w:r>
        <w:rPr>
          <w:rFonts w:ascii="Times New Roman" w:cs="Times New Roman" w:eastAsia="Times New Roman" w:hAnsi="Times New Roman"/>
          <w:sz w:val="22"/>
          <w:szCs w:val="22"/>
        </w:rPr>
        <w:t xml:space="preserve">World Bank (2024). Vietnam Economic Update: Reaching New Heights. Washington, DC.</w:t>
      </w:r>
    </w:p>
    <w:p>
      <w:pPr>
        <w:pStyle w:val="ListParagraph"/>
        <w:numPr>
          <w:ilvl w:val="0"/>
          <w:numId w:val="2"/>
        </w:numPr>
        <w:spacing w:after="60" w:before="60"/>
      </w:pPr>
      <w:r>
        <w:rPr>
          <w:rFonts w:ascii="Times New Roman" w:cs="Times New Roman" w:eastAsia="Times New Roman" w:hAnsi="Times New Roman"/>
          <w:sz w:val="22"/>
          <w:szCs w:val="22"/>
        </w:rPr>
        <w:t xml:space="preserve">Đỗ Tiến Đạt (2025). AIDEOM-VN Source Code. GitHub: https://github.com/bach2610/datdo</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1212" w:sz="3" w:space="1"/>
      </w:pBdr>
      <w:jc w:val="center"/>
    </w:pPr>
    <w:r>
      <w:rPr>
        <w:rFonts w:ascii="Times New Roman" w:cs="Times New Roman" w:eastAsia="Times New Roman" w:hAnsi="Times New Roman"/>
        <w:color w:val="666666"/>
        <w:sz w:val="18"/>
        <w:szCs w:val="18"/>
      </w:rPr>
      <w:t xml:space="preserve">Đỗ Tiến Đạt  |  Môn Các mô hình ra quyết định  |  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212" w:sz="3" w:space="1"/>
      </w:pBdr>
      <w:jc w:val="right"/>
    </w:pPr>
    <w:r>
      <w:rPr>
        <w:rFonts w:ascii="Times New Roman" w:cs="Times New Roman" w:eastAsia="Times New Roman" w:hAnsi="Times New Roman"/>
        <w:i/>
        <w:iCs/>
        <w:color w:val="666666"/>
        <w:sz w:val="18"/>
        <w:szCs w:val="18"/>
      </w:rPr>
      <w:t xml:space="preserve">AIDEOM-VN — Báo cáo bài tập cuối kỳ Các mô hình ra quyết định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9B1212"/>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C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2026-05-31T07:50:07.660Z</dcterms:created>
  <dcterms:modified xsi:type="dcterms:W3CDTF">2026-05-31T07:50:07.672Z</dcterms:modified>
</cp:coreProperties>
</file>

<file path=docProps/custom.xml><?xml version="1.0" encoding="utf-8"?>
<Properties xmlns="http://schemas.openxmlformats.org/officeDocument/2006/custom-properties" xmlns:vt="http://schemas.openxmlformats.org/officeDocument/2006/docPropsVTypes"/>
</file>