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18"/>
        </w:rPr>
        <w:t>Klotzkette Rechtsanwaltsgesellschaft mbH</w:t>
        <w:br/>
        <w:t>Pacellistrasse 4 — 80333 Muenchen</w:t>
        <w:br/>
        <w:t>Tel. 089 / 2180-4400 — www.klotzkette.de</w:t>
        <w:br/>
        <w:t>Dr. Florentine Birkholz, Fachanwaeltin fuer Bau- und Architektenrecht</w:t>
      </w:r>
    </w:p>
    <w:p/>
    <w:p>
      <w:pPr>
        <w:jc w:val="center"/>
      </w:pPr>
      <w:r>
        <w:rPr>
          <w:b/>
          <w:color w:val="FF0000"/>
          <w:sz w:val="22"/>
        </w:rPr>
        <w:t>[ENTWURF — NOCH NICHT ABGESANDT — Stand: 18.12.2025]</w:t>
      </w:r>
    </w:p>
    <w:p/>
    <w:p>
      <w:r>
        <w:t>Bauer-Hoch Bayern GmbH &amp; Co. KG</w:t>
        <w:br/>
        <w:t>z.Hd. Herrn Konrad Bauer-Hoch (GF)</w:t>
        <w:br/>
        <w:t>Industriestrasse 22</w:t>
        <w:br/>
        <w:t>82377 Penzberg</w:t>
        <w:br/>
        <w:br/>
        <w:t>— PER EINSCHREIBEN/RUECKSCHEIN —</w:t>
      </w:r>
    </w:p>
    <w:p/>
    <w:p>
      <w:r>
        <w:t>Muenchen, 18. Dezember 2025</w:t>
        <w:br/>
        <w:t>Az.: KLK-2025-1218-BAU-WAL</w:t>
        <w:br/>
        <w:t>Ihr Zeichen: BHB-2024-GU-0087</w:t>
      </w:r>
    </w:p>
    <w:p/>
    <w:p>
      <w:r>
        <w:rPr>
          <w:b/>
          <w:sz w:val="22"/>
        </w:rPr>
        <w:t>Generalunternehmervertrag vom 12.03.2024 (Az. BHB-2024-GU-0087)</w:t>
        <w:br/>
        <w:t>Seehotel Walchensee, Seestrasse 8, 82431 Kochel am See</w:t>
        <w:br/>
        <w:t>AUSSERORDENTLICHE KUENDIGUNG AUS WICHTIGEM GRUND nach § 8 Abs. 3 VOB/B</w:t>
      </w:r>
    </w:p>
    <w:p/>
    <w:p>
      <w:r>
        <w:t>Sehr geehrter Herr Bauer-Hoch,</w:t>
      </w:r>
    </w:p>
    <w:p>
      <w:r>
        <w:t>wir vertreten die Seehotel Walchensee Betriebs GmbH (Az. wie oben). Namens und in Vollmacht unserer Mandantin erklaeren wir hiermit die ausserordentliche Kuendigung des oben genannten GU-Vertrags aus wichtigem Grund gemaess § 8 Abs. 3 VOB/B mit sofortiger Wirkung, spaetestens mit Fristablauf zum 30. Dezember 2025.</w:t>
      </w:r>
    </w:p>
    <w:p>
      <w:pPr>
        <w:pStyle w:val="Heading2"/>
      </w:pPr>
      <w:r>
        <w:t>Kuendigungsgruende</w:t>
      </w:r>
    </w:p>
    <w:p>
      <w:r>
        <w:rPr>
          <w:b/>
        </w:rPr>
        <w:t>1. Nichteinhaltung Fertigstellungstermin (§ 5 Abs. 4 VOB/B):</w:t>
      </w:r>
    </w:p>
    <w:p>
      <w:r>
        <w:t>Der vertragliche Fertigstellungstermin war der 30.06.2025. Bis zur Mandatsannahme am 18.12.2025 ist das Objekt nach wie vor nicht fertiggestellt (Bauzeitueberschreitung 11 Monate). Die Baustelle ist seit 28.11.2025 faktisch stillgelegt.</w:t>
      </w:r>
    </w:p>
    <w:p>
      <w:r>
        <w:rPr>
          <w:b/>
        </w:rPr>
        <w:t>2. Abnahmeverweigerung wegen 31 wesentlicher Maengel (§ 13 VOB/B):</w:t>
      </w:r>
    </w:p>
    <w:p>
      <w:r>
        <w:t>Das foermliche Abnahmeprotokoll vom 02.10.2025 weist 31 wesentliche Maengel aus, darunter fehlende Z-Folie Flachdach, Wassereintritt in 9 Zimmer, 47 cm Ueberbau, fehlende Feuerschutztuer T30, Setzungsrisse Baudenkmal. Keine einzige Mangelposition wurde beseitigt.</w:t>
      </w:r>
    </w:p>
    <w:p>
      <w:r>
        <w:rPr>
          <w:b/>
        </w:rPr>
        <w:t>3. Gefaehrdung der Standsicherheit (Pfahlgruendung):</w:t>
      </w:r>
    </w:p>
    <w:p>
      <w:r>
        <w:t>Das Gutachten von Univ.-Prof. Dr.-Ing. Hagenbeck (TU Muenchen i.R.) vom 15.12.2025 stellt fest, dass der Sicherheitsfaktor der Pfahlgruendung 1,4 betraegt (Soll: 2,1; Unterschreitung um 33 %). Sofortmassnahmen wurden angeordnet; keine Reaktion Ihrer Seite.</w:t>
      </w:r>
    </w:p>
    <w:p>
      <w:r>
        <w:rPr>
          <w:b/>
        </w:rPr>
        <w:t>4. Verletzung Bauhandwerkersicherung § 650f BGB:</w:t>
      </w:r>
    </w:p>
    <w:p>
      <w:r>
        <w:t>Sie haben das § 650f-Sicherungsverlangen vom 05.11.2025 (EUR 1.812.000,00) als rechtswidrigen Druck eingesetzt, ohne Anspruch auf die geforderte Hoehe. Die Forderung ist in Hoehe von EUR 1.559.330,00 unberechtigt (vgl. interne Pruefung).</w:t>
      </w:r>
    </w:p>
    <w:p>
      <w:r>
        <w:rPr>
          <w:b/>
        </w:rPr>
        <w:t>5. Zollkontrolle FKS — Sub-Sub-Kette ohne A1-Bescheinigungen:</w:t>
      </w:r>
    </w:p>
    <w:p>
      <w:r>
        <w:t>Am 14.11.2025 wurden auf Ihrer Baustelle 7 polnische Arbeitnehmer des Subunternehmens Polski Domex ohne A1-Bescheinigungen und unter Verstoss gegen das MiLoG angetroffen. Haftungsrisiken fuer unsere Mandantin entstehen durch Ihre Vertragsgestaaltung (§ 14 AEntG).</w:t>
      </w:r>
    </w:p>
    <w:p>
      <w:r>
        <w:rPr>
          <w:b/>
        </w:rPr>
        <w:t>6. Errichtung Bootssteg ohne wasserrechtliche Genehmigung:</w:t>
      </w:r>
    </w:p>
    <w:p>
      <w:r>
        <w:t>Der Bootssteg wurde entgegen der vertraglichen Pflicht, alle erforderlichen Genehmigungen zu beschaffen (GU-Vertrag § 1 i.V.m. Anlage 1 Ziff. 4.3), ohne wasserrechtliche Erlaubnis errichtet. LRA-Rueckbauanordnung (25.000 EUR Zwangsgeld) liegt vor.</w:t>
      </w:r>
    </w:p>
    <w:p>
      <w:r>
        <w:rPr>
          <w:b/>
        </w:rPr>
        <w:t>7. Faktische Baustellenraeumung (§ 8 Abs. 3 Nr. 2 VOB/B):</w:t>
      </w:r>
    </w:p>
    <w:p>
      <w:r>
        <w:t>Seit dem 28.11.2025 haben Sie die Baustelle verlassen und die Arbeiten eingestellt. Trotz Aufforderung haben Sie die Bauleistungen nicht wiederaufgenommen. Dies stellt eine vertragswidrige Unterbrechung der Bauleistung dar.</w:t>
      </w:r>
    </w:p>
    <w:p>
      <w:r>
        <w:rPr>
          <w:b/>
        </w:rPr>
        <w:t>8. Verweigerte Kooperation und Eskalation:</w:t>
      </w:r>
    </w:p>
    <w:p>
      <w:r>
        <w:t>Ihre Ankuendigung, einen Insolvenzantrag zu pruefen (E-Mail 07.11.2025), sowie die Durchsetzungsversuche mittels § 650f-Sicherungsverlangen ohne ausreichenden Rechtsgrund haben das Vertrauensverhaeltnis zwischen den Parteien endgueltig zerstoert.</w:t>
      </w:r>
    </w:p>
    <w:p>
      <w:pPr>
        <w:pStyle w:val="Heading2"/>
      </w:pPr>
      <w:r>
        <w:t>Abrechnungshinweis und Drittunternehmer</w:t>
      </w:r>
    </w:p>
    <w:p>
      <w:r>
        <w:t>Unsere Mandantin wird nach Kuendigung unverzueglich ein Drittunternehmen mit der Fertigstellung beauftragen. Die anfallenden Mehrkosten gegenueber dem Pauschalpreis werden als Schadensersatzforderung geltend gemacht. Wir behalten uns vor, die auf der Baustelle befindlichen Materialien nach § 8 Abs. 3 Nr. 3 VOB/B zu verwenden; der Materialeinsatz wird dokumentiert.</w:t>
      </w:r>
    </w:p>
    <w:p/>
    <w:p>
      <w:r>
        <w:t>Mit freundlichen Gruessen</w:t>
      </w:r>
    </w:p>
    <w:p/>
    <w:p>
      <w:r>
        <w:t>_________________________</w:t>
        <w:br/>
        <w:t>Dr. Florentine Birkholz</w:t>
        <w:br/>
        <w:t>Fachanwaeltin fuer Bau- und Architektenrecht</w:t>
        <w:br/>
        <w:t>Klotzkette Rechtsanwaltsgesellschaft mbH</w:t>
      </w:r>
    </w:p>
    <w:sectPr w:rsidR="00FC693F" w:rsidRPr="0006063C" w:rsidSect="00034616">
      <w:pgSz w:w="12240" w:h="15840"/>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