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Klageentwurf Rabenhorst gegen Land</w:t>
      </w:r>
    </w:p>
    <w:p>
      <w:pPr>
        <w:pStyle w:val="Heading2"/>
      </w:pPr>
      <w:r>
        <w:t>Anträge</w:t>
      </w:r>
    </w:p>
    <w:p>
      <w:pPr>
        <w:spacing w:after="120"/>
      </w:pPr>
      <w:r>
        <w:rPr>
          <w:rFonts w:ascii="Arial" w:hAnsi="Arial"/>
          <w:sz w:val="20"/>
        </w:rPr>
        <w:t>Der Beklagte wird verpflichtet, über die Stufenfestsetzung und Anerkennung der Auslandsverwendung unter Beachtung der Rechtsauffassung des Gerichts erneut zu entscheiden. Hilfsweise wird die Rechtswidrigkeit der ablehnenden Begründung festgestellt.</w:t>
      </w:r>
    </w:p>
    <w:p>
      <w:pPr>
        <w:pStyle w:val="Heading2"/>
      </w:pPr>
      <w:r>
        <w:t>Begründung</w:t>
      </w:r>
    </w:p>
    <w:p>
      <w:pPr>
        <w:spacing w:after="120"/>
      </w:pPr>
      <w:r>
        <w:rPr>
          <w:rFonts w:ascii="Arial" w:hAnsi="Arial"/>
          <w:sz w:val="20"/>
        </w:rPr>
        <w:t>Die Behörde hat die konkrete Vergleichbarkeit der Auslandstätigkeit nicht aufgeklärt, unterschiedliche Anspruchsgrundlagen vermischt und die eigene dienstliche Veranlassung nicht hinreichend gewürdigt.</w:t>
      </w:r>
    </w:p>
    <w:p>
      <w:pPr>
        <w:pStyle w:val="Heading2"/>
      </w:pPr>
      <w:r>
        <w:t>Vergleichslinie</w:t>
      </w:r>
    </w:p>
    <w:p>
      <w:pPr>
        <w:spacing w:after="120"/>
      </w:pPr>
      <w:r>
        <w:rPr>
          <w:rFonts w:ascii="Arial" w:hAnsi="Arial"/>
          <w:sz w:val="20"/>
        </w:rPr>
        <w:t>Eine rückwirkende vollständige Höherstufung ist unsicher. Realistischer ist eine teilweise Anerkennung, Korrektur der Beurteilungsgrundlage und eine dokumentierte Zulagenprüfung.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