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Erwartete Klageerwiderung und Repliklinie</w:t>
      </w:r>
    </w:p>
    <w:p>
      <w:r>
        <w:t>Die Behörde wird sagen, es gebe keinen Automatismus der Anerkennung. Das ist richtig, beantwortet aber nicht die Frage, ob Ermessen erkannt und ausgeübt wurde.</w:t>
      </w:r>
    </w:p>
    <w:p>
      <w:r>
        <w:t>Sie wird weiter sagen, der mexikanische Einsatz sei projektspezifisch gewesen. Replik: Gerade projektspezifische Verantwortung kann laufbahnrelevant sein, wenn sie fachlich und organisatorisch anspruchsvoll war.</w:t>
      </w:r>
    </w:p>
    <w:p>
      <w:r>
        <w:t>Die Kanzlei sollte Vergleichsfälle anderer abgeordneter Beamter anfordern, ohne personenbezogene Daten unnötig offenzulegen.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