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Personalratsnotiz Beförderungskaskade</w:t>
      </w:r>
    </w:p>
    <w:p>
      <w:pPr>
        <w:pStyle w:val="Heading2"/>
      </w:pPr>
      <w:r>
        <w:t>Beteiligung</w:t>
      </w:r>
    </w:p>
    <w:p>
      <w:pPr>
        <w:spacing w:after="120"/>
      </w:pPr>
      <w:r>
        <w:rPr>
          <w:rFonts w:ascii="Arial" w:hAnsi="Arial"/>
          <w:sz w:val="20"/>
        </w:rPr>
        <w:t>Der Personalrat wurde zur Organisationsverfügung beteiligt, erhielt aber keine Übersicht, welche Beförderungsbewerbungen dadurch faktisch entfallen. Die Gleichstellungsbeauftragte fragte nach, warum die besser beurteilte Bewerberin Steinmann nicht zum Gespräch geladen wurde.</w:t>
      </w:r>
    </w:p>
    <w:p>
      <w:pPr>
        <w:pStyle w:val="Heading2"/>
      </w:pPr>
      <w:r>
        <w:t>Risiko</w:t>
      </w:r>
    </w:p>
    <w:p>
      <w:pPr>
        <w:spacing w:after="120"/>
      </w:pPr>
      <w:r>
        <w:rPr>
          <w:rFonts w:ascii="Arial" w:hAnsi="Arial"/>
          <w:sz w:val="20"/>
        </w:rPr>
        <w:t>Die Beteiligung wird nicht schon deshalb fehlerhaft, weil der Personalrat die Entscheidung politisch missbilligt. Kritisch ist aber, ob die Auswirkungen auf das Auswahlfeld verschleiert oder unvollständig dargestellt wurden.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