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Eilantrag Planstellenfreihaltung</w:t>
      </w:r>
    </w:p>
    <w:p>
      <w:r>
        <w:t>Der Antrag richtet sich auf Freihaltung der A15-Stelle bis zur erneuten Auswahlentscheidung. Zusätzlich wird Akteneinsicht in die Organisationsvorgänge beantragt, weil die Bewerberfeldgestaltung selbst angegriffen wird.</w:t>
      </w:r>
    </w:p>
    <w:p>
      <w:r>
        <w:t>Argumentationskern: Organisationsfreiheit ja, planvolle Entwertung der Bestenauslese nein. Die Rotation stärkerer Konkurrentinnen muss sachlich erklärt werden.</w:t>
      </w:r>
    </w:p>
    <w:p>
      <w:r>
        <w:t>Der Vortrag vermeidet den Begriff Vetternwirtschaft. Stattdessen: auffällige Koinzidenz, fehlende Dokumentation, unklare Passungsbewertung.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