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Wiedereingliederungsplan Karla Behrens</w:t>
      </w:r>
    </w:p>
    <w:p>
      <w:pPr>
        <w:pStyle w:val="Heading2"/>
      </w:pPr>
      <w:r>
        <w:t>Phase 1</w:t>
      </w:r>
    </w:p>
    <w:p>
      <w:pPr>
        <w:spacing w:after="120"/>
      </w:pPr>
      <w:r>
        <w:rPr>
          <w:rFonts w:ascii="Arial" w:hAnsi="Arial"/>
          <w:sz w:val="20"/>
        </w:rPr>
        <w:t>Vier Wochen Innendienst ohne Nachtdienst, keine Gefahrguteinsätze, feste Ansprechpartnerin, wöchentliche Rückmeldung an Personalstelle und behandelnde Ärztin.</w:t>
      </w:r>
    </w:p>
    <w:p>
      <w:pPr>
        <w:pStyle w:val="Heading2"/>
      </w:pPr>
      <w:r>
        <w:t>Phase 2</w:t>
      </w:r>
    </w:p>
    <w:p>
      <w:pPr>
        <w:spacing w:after="120"/>
      </w:pPr>
      <w:r>
        <w:rPr>
          <w:rFonts w:ascii="Arial" w:hAnsi="Arial"/>
          <w:sz w:val="20"/>
        </w:rPr>
        <w:t>Steigerung auf sechs Stunden täglich, Teilnahme an Lagebesprechungen, aber keine alleinige Einsatzleitung. Parallel Supervision und Belastungstagebuch.</w:t>
      </w:r>
    </w:p>
    <w:p>
      <w:pPr>
        <w:pStyle w:val="Heading2"/>
      </w:pPr>
      <w:r>
        <w:t>Rechtsfragen</w:t>
      </w:r>
    </w:p>
    <w:p>
      <w:pPr>
        <w:spacing w:after="120"/>
      </w:pPr>
      <w:r>
        <w:rPr>
          <w:rFonts w:ascii="Arial" w:hAnsi="Arial"/>
          <w:sz w:val="20"/>
        </w:rPr>
        <w:t>BEM ist kein Ersatz für Dienstunfallanerkennung. Wiedereingliederung darf nicht als Beweis gegen fortbestehende Unfallfolgen verwertet werden, sondern soll Dienstfähigkeit erhalten.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