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BEM-Gesprächsleitfaden Hafenpolizei</w:t>
      </w:r>
    </w:p>
    <w:p>
      <w:r>
        <w:t>Das Gespräch beginnt mit der Frage, welche Tätigkeiten aktuell möglich sind, nicht mit dem Vorwurf hoher Fehlzeiten.</w:t>
      </w:r>
    </w:p>
    <w:p>
      <w:r>
        <w:t>Gesundheitsdaten werden nur freiwillig und zweckgebunden besprochen. Die Personalstelle erhält keine Diagnosedetails, die für die Maßnahme nicht erforderlich sind.</w:t>
      </w:r>
    </w:p>
    <w:p>
      <w:r>
        <w:t>Der Mandant soll konkrete Belastungen benennen: Nachtschicht, Einsatzort, Alleindienst, Konflikt mit Vorgesetztem, Wegzeiten.</w:t>
      </w:r>
    </w:p>
    <w:p>
      <w:r>
        <w:t>Ziel ist eine belastbare Rückkehr, nicht ein schneller Statistik-Erfolg.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