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Mandantenmemo Dr. Mondsee - Auswahl, Besoldung, Gesundheit</w:t>
      </w:r>
    </w:p>
    <w:p>
      <w:pPr>
        <w:pStyle w:val="Heading2"/>
      </w:pPr>
      <w:r>
        <w:t>Kurzfazit</w:t>
      </w:r>
    </w:p>
    <w:p>
      <w:pPr>
        <w:spacing w:after="120"/>
      </w:pPr>
      <w:r>
        <w:rPr>
          <w:rFonts w:ascii="Arial" w:hAnsi="Arial"/>
          <w:sz w:val="20"/>
        </w:rPr>
        <w:t>Die Akte hat drei getrennte Stränge: Konkurrentenstreit um die Vorsitzendenstelle, Besoldungs-/Stufen- und Familienzuschlagsprüfung sowie die Untersuchungsanordnung. Diese Stränge dürfen taktisch koordiniert, aber rechtlich nicht vermischt werden.</w:t>
      </w:r>
    </w:p>
    <w:p>
      <w:pPr>
        <w:pStyle w:val="Heading2"/>
      </w:pPr>
      <w:r>
        <w:t>Sofortmaßnahmen</w:t>
      </w:r>
    </w:p>
    <w:p>
      <w:pPr>
        <w:spacing w:after="120"/>
      </w:pPr>
      <w:r>
        <w:rPr>
          <w:rFonts w:ascii="Arial" w:hAnsi="Arial"/>
          <w:sz w:val="20"/>
        </w:rPr>
        <w:t>Eilantrag vorbereiten, Stillhalteerklärung verlangen, vollständige Auswahlakte beiziehen, Beurteilungsbeiträge sichern, Besoldungswiderspruch frist- und haushaltsjahrbezogen begründen, Untersuchungsanordnung konkretisieren lassen.</w:t>
      </w:r>
    </w:p>
    <w:p>
      <w:pPr>
        <w:pStyle w:val="Heading2"/>
      </w:pPr>
      <w:r>
        <w:t>Kommunikationslinie</w:t>
      </w:r>
    </w:p>
    <w:p>
      <w:pPr>
        <w:spacing w:after="120"/>
      </w:pPr>
      <w:r>
        <w:rPr>
          <w:rFonts w:ascii="Arial" w:hAnsi="Arial"/>
          <w:sz w:val="20"/>
        </w:rPr>
        <w:t>Sachlich bleiben, keine persönlichen Vorwürfe gegen Präsidialrat oder Präsidentin, sondern Dokumentations- und Vergleichbarkeitsmängel herausarbeiten.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