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Besoldungsmandat Mondsee - getrennte Strategie</w:t>
      </w:r>
    </w:p>
    <w:p>
      <w:r>
        <w:t>Das Besoldungsmandat wird getrennt vom Konkurrentenstreit geführt. Gleichwohl sind die Tatsachenüberschneidungen beträchtlich. Insbesondere die Anerkennung früherer Tätigkeiten und die Bewertung kommissarischer Leitung können für Stufen, Nachzahlungen und Versorgung relevant werden.</w:t>
      </w:r>
    </w:p>
    <w:p>
      <w:r>
        <w:t>Der Grundwiderspruch soll alle streitigen Zeiträume offenhalten, ohne jede einzelne Monatsmitteilung unnötig zu wiederholen. Gleichzeitig muss geprüft werden, ob einzelne Bescheide bereits bestandskräftig geworden sind.</w:t>
      </w:r>
    </w:p>
    <w:p>
      <w:r>
        <w:t>Familienzuschlag: Die Akte enthält widersprüchliche Daten. Der Sachverhalt muss mit Geburtsnachweisen und Portalprotokollen rekonstruiert werden. Gesundheits- und Familiendaten werden nur geschwärzt in andere Verfahren übernommen.</w:t>
      </w:r>
    </w:p>
    <w:p>
      <w:r>
        <w:t>Nachzahlung: Wir erstellen eine konservative und eine offensive Berechnung. Die konservative Berechnung dient Vergleichsgesprächen; die offensive Berechnung wird nur verwendet, wenn der Dienstherr die Anerkennung vollständig verweigert.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