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Vorbereitung Vergleichsgespräch mit dem Justizministerium</w:t>
      </w:r>
    </w:p>
    <w:p>
      <w:r>
        <w:t>Ziel ist nicht ein Gesichtsverlust des Ministeriums. Ziel ist eine belastbare Neubescheidung oder eine faire Zwischenlösung, die Dr. Mondsee nicht dauerhaft aus der Vorsitzendenlaufbahn drängt.</w:t>
      </w:r>
    </w:p>
    <w:p>
      <w:r>
        <w:t>Mögliche Vergleichselemente: verbindliche Neubescheidung binnen acht Wochen, vollständige Akteneinsicht, erneute Präsidialratsbefassung, Ergänzung der dienstlichen Beurteilung um kommissarische Vorsitzendentätigkeiten, getrennte Prüfung der Besoldungswidersprüche.</w:t>
      </w:r>
    </w:p>
    <w:p>
      <w:r>
        <w:t>Nicht akzeptabel: bloße Gesprächszusage ohne Stillhaltung, informelle Vertröstung auf spätere Ausschreibungen, Rücknahme des Eilantrags ohne schriftliche Sicherung.</w:t>
      </w:r>
    </w:p>
    <w:p>
      <w:r>
        <w:t>Kommunikation: respektvoll, knapp, keine Vorwürfe persönlicher Begünstigung. Die Gegenseite soll eine saubere Verfahrenskorrektur als beste Lösung erkennen können.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