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Auswahlkommission IGS Lindenkrug</w:t>
      </w:r>
    </w:p>
    <w:p>
      <w:pPr>
        <w:pStyle w:val="Heading2"/>
      </w:pPr>
      <w:r>
        <w:t>Teilnehmende</w:t>
      </w:r>
    </w:p>
    <w:p>
      <w:pPr>
        <w:spacing w:after="120"/>
      </w:pPr>
      <w:r>
        <w:rPr>
          <w:rFonts w:ascii="Arial" w:hAnsi="Arial"/>
          <w:sz w:val="20"/>
        </w:rPr>
        <w:t>Vertreterin RLSB, Schulträger, Gleichstellungsbeauftragte, Personalrat, beratend bisherige Schulleiterin. Bewertungsbögen wurden handschriftlich geführt; zwei Bögen fehlen in der Akte.</w:t>
      </w:r>
    </w:p>
    <w:p>
      <w:pPr>
        <w:pStyle w:val="Heading2"/>
      </w:pPr>
      <w:r>
        <w:t>Präsentation Dr. Falkenberg</w:t>
      </w:r>
    </w:p>
    <w:p>
      <w:pPr>
        <w:spacing w:after="120"/>
      </w:pPr>
      <w:r>
        <w:rPr>
          <w:rFonts w:ascii="Arial" w:hAnsi="Arial"/>
          <w:sz w:val="20"/>
        </w:rPr>
        <w:t>Schwerpunkte: Unterrichtsentwicklung, Inklusion, Ganztagsrhythmus, Belastungssteuerung Kollegium, Baustellenkommunikation. Rückfrage Schulträger: „Wie verhindern Sie Verzögerungen beim Neubau?“ Antwort: Steuerungsgruppe mit Monatsreporting, aber keine eigene Bauherrenrolle.</w:t>
      </w:r>
    </w:p>
    <w:p>
      <w:pPr>
        <w:pStyle w:val="Heading2"/>
      </w:pPr>
      <w:r>
        <w:t>Präsentation Vornhagen</w:t>
      </w:r>
    </w:p>
    <w:p>
      <w:pPr>
        <w:spacing w:after="120"/>
      </w:pPr>
      <w:r>
        <w:rPr>
          <w:rFonts w:ascii="Arial" w:hAnsi="Arial"/>
          <w:sz w:val="20"/>
        </w:rPr>
        <w:t>Schwerpunkte: Baukommunikation, externe Partner, Sponsoring, gymnasiale Oberstufe. Rückfrage Personalrat: „Wie gewinnen Sie das Kollegium?“ Antwort eher allgemein, aber als souverän vermerkt.</w:t>
      </w:r>
    </w:p>
    <w:sectPr w:rsidR="00FC693F" w:rsidRPr="0006063C" w:rsidSect="00034616"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