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Terminvorbereitung VG Hannover</w:t>
      </w:r>
    </w:p>
    <w:p>
      <w:r>
        <w:t>Das Gericht wird voraussichtlich fragen, ob die Antragstellerin nur eine andere Personalpolitik will oder konkrete Auswahlfehler rügt. Antwortlinie: unvollständige Beurteilungsgrundlage, unklare Gewichtung des Schulträgergesprächs, fehlende Dokumentation des Vorstellungsgesprächs.</w:t>
      </w:r>
    </w:p>
    <w:p>
      <w:r>
        <w:t>Die Antragstellerin soll ihre Schulentwicklungserfahrung anhand konkreter Projekte erklären: Ganztag, Inklusion, digitaler Prüfungsraum, Elternkonflikt bilingualer Zweig.</w:t>
      </w:r>
    </w:p>
    <w:p>
      <w:r>
        <w:t>Nicht behaupten, der Konkurrent sei ungeeignet. Ziel ist Neubescheidung, nicht gerichtliche Ernennung.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