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Betäubungsmittelrecht</w:t>
      </w:r>
    </w:p>
    <w:p>
      <w:r>
        <w:t>BtM-Akte: Apotheke, Substitution, Festivalfund, nicht geringe Menge, BtM-Rezept, Fahrerlaubnis und Therapiepfad.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