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Entwurf Anwaltsschreiben an Elektrohaus Brückner</w:t>
      </w:r>
    </w:p>
    <w:p>
      <w:r>
        <w:t>Unsere Mandantin macht Mängelrechte aus dem Kaufvertrag geltend. Nach Aktenstand liegt nahe, dass der VestaCool FR-900 eine Ware mit digitalen Elementen ist.</w:t>
      </w:r>
    </w:p>
    <w:p>
      <w:r>
        <w:t>Bitte teilen Sie kurzfristig mit, wie Sie Nacherfüllung leisten und wie Diagnosezugang sowie Ersatzteilfreischaltung praktisch erfolgen sollen.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