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Rechtsgeschichtliche Akte Falkenau - Arbeitsvermerk</w:t>
      </w:r>
    </w:p>
    <w:p>
      <w:r>
        <w:t>Restitution, BGB-Entstehung, DDR-Rechtsüberleitung und heutige Grundstücks-/Entschädigungsfrage.</w:t>
      </w:r>
    </w:p>
    <w:p>
      <w:r>
        <w:t>Offene Punkte: Rechtsquelle, Beleglage, Gegenposition, Frist, taktische Eskalation.</w:t>
      </w:r>
    </w:p>
    <w:p>
      <w:r>
        <w:t>Hinweis: Keine nicht verifizierbaren Fundstellen verwenden; bei Tagesrecht live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