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Arbeitsvermerk Einigungsvertrag und Vermögensrecht</w:t>
      </w:r>
    </w:p>
    <w:p>
      <w:r>
        <w:t>Einheitsvertragsakte Lindenau: Treuhandzuordnung, Bodenreformvermerk, Mauergrundstück, VermG-Restitution und Grundbuchkette.</w:t>
      </w:r>
    </w:p>
    <w:p>
      <w:r>
        <w:t>Der Vermerk trennt Sachverhalt, Rechtsgrundlage, Zuständigkeit, Frist, Kostenrisiko, Beweisbedarf und nächsten Schritt.</w:t>
      </w:r>
    </w:p>
    <w:p>
      <w:r>
        <w:t>Rechtsstand, Rechtsprechung und Behördenpraxis sind vor produktiver Nutzung live zu prüfen.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