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Arial" w:hAnsi="Arial"/>
        </w:rPr>
        <w:t>Creator-Kampagne Liv Sundström</w:t>
      </w:r>
    </w:p>
    <w:p>
      <w:pPr>
        <w:pStyle w:val="Heading2"/>
      </w:pPr>
      <w:r>
        <w:t>Rechtepaket</w:t>
      </w:r>
    </w:p>
    <w:p>
      <w:pPr>
        <w:spacing w:after="120"/>
      </w:pPr>
      <w:r>
        <w:rPr>
          <w:rFonts w:ascii="Arial" w:hAnsi="Arial"/>
          <w:sz w:val="20"/>
        </w:rPr>
        <w:t>Der Vertragsentwurf erlaubt organische Posts, enthält aber keine klare Freigabe für Paid Social, Retargeting, Website-Hero, Lookbook-PDF und spätere Archivnutzung. Für Retusche, Zuschnitt und Übersetzung der Captions fehlt eine eindeutige Bearbeitungserlaubnis.</w:t>
      </w:r>
    </w:p>
    <w:p>
      <w:pPr>
        <w:pStyle w:val="Heading2"/>
      </w:pPr>
      <w:r>
        <w:t>Risiko</w:t>
      </w:r>
    </w:p>
    <w:p>
      <w:pPr>
        <w:spacing w:after="120"/>
      </w:pPr>
      <w:r>
        <w:rPr>
          <w:rFonts w:ascii="Arial" w:hAnsi="Arial"/>
          <w:sz w:val="20"/>
        </w:rPr>
        <w:t>Wenn die Mandantin das Material nach dem Drop für Anzeigen nutzt, ohne das Buyout sauber zu vereinbaren, drohen Nachvergütung, Takedown-Druck und Reputationsschaden. Zusätzlich muss die Werbekennzeichnung in allen Sprachfassungen stimmen.</w:t>
      </w:r>
    </w:p>
    <w:p>
      <w:pPr>
        <w:pStyle w:val="Heading2"/>
      </w:pPr>
      <w:r>
        <w:t>Empfehlung</w:t>
      </w:r>
    </w:p>
    <w:p>
      <w:pPr>
        <w:spacing w:after="120"/>
      </w:pPr>
      <w:r>
        <w:rPr>
          <w:rFonts w:ascii="Arial" w:hAnsi="Arial"/>
          <w:sz w:val="20"/>
        </w:rPr>
        <w:t>Kurzer Nachtrag mit Medien, Laufzeit, Territory, Paid/Organic, KI-Bearbeitung, Exklusivität, Krisen-/Löschprozess und Freigabeablauf.</w:t>
      </w:r>
    </w:p>
    <w:sectPr w:rsidR="00FC693F" w:rsidRPr="0006063C" w:rsidSect="00034616">
      <w:pgSz w:w="12240" w:h="15840"/>
      <w:pgMar w:top="964" w:right="1134" w:bottom="96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