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rPr>
        <w:t>Sofortnotiz S-14 / NordSnap</w:t>
      </w:r>
    </w:p>
    <w:p>
      <w:pPr>
        <w:pStyle w:val="Heading2"/>
      </w:pPr>
      <w:r>
        <w:t>Vorläufige Lage</w:t>
      </w:r>
    </w:p>
    <w:p>
      <w:pPr>
        <w:spacing w:after="120"/>
      </w:pPr>
      <w:r>
        <w:rPr>
          <w:rFonts w:ascii="Arial" w:hAnsi="Arial"/>
          <w:sz w:val="20"/>
        </w:rPr>
        <w:t>Die Eintragung eines Gebrauchsmusters kann Geschwindigkeit bringen, ersetzt aber keine Rechtsbestandsprüfung. Für eine einstweilige Verfügung muss die Mandantin eine belastbare technische Merkmalsanalyse, Stand-der-Technik-Recherche und Produktbeweissicherung vorlegen.</w:t>
      </w:r>
    </w:p>
    <w:p>
      <w:pPr>
        <w:pStyle w:val="Heading2"/>
      </w:pPr>
      <w:r>
        <w:t>Schutzschrift-Risiko</w:t>
      </w:r>
    </w:p>
    <w:p>
      <w:pPr>
        <w:spacing w:after="120"/>
      </w:pPr>
      <w:r>
        <w:rPr>
          <w:rFonts w:ascii="Arial" w:hAnsi="Arial"/>
          <w:sz w:val="20"/>
        </w:rPr>
        <w:t>Messwerk Nord könnte bei Kenntnis einer Abmahnung Schutzschrift hinterlegen. Die Mandantin sollte daher vor dem ersten Schreiben entscheiden, ob sie wirklich eilig gerichtlich vorgehen will oder zunächst eine technische Abgrenzung und Verhandlungsschiene vorbereitet.</w:t>
      </w:r>
    </w:p>
    <w:p>
      <w:pPr>
        <w:pStyle w:val="Heading2"/>
      </w:pPr>
      <w:r>
        <w:t>Nächste Schritte</w:t>
      </w:r>
    </w:p>
    <w:p>
      <w:pPr>
        <w:spacing w:after="120"/>
      </w:pPr>
      <w:r>
        <w:rPr>
          <w:rFonts w:ascii="Arial" w:hAnsi="Arial"/>
          <w:sz w:val="20"/>
        </w:rPr>
        <w:t>Gegnerprodukt beschaffen, neutrale Zerlegung dokumentieren, Recherche nach § 7 GebrMG beantragen, Patentabzweigung prüfen, Erfinder- und Rechtekette schriftlich nachziehen.</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