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Vergleichsentwurf Arbeitsstand</w:t>
      </w:r>
    </w:p>
    <w:p>
      <w:r>
        <w:t>Nordstern erteilt einen vollständigen Buchauszug für das Vertragsgebiet einschließlich Online- und Key-Account-Umsätzen binnen 21 Tagen. Die Parteien verhandeln anschließend über Provision, Stornoreserve und Ausgleich.</w:t>
      </w:r>
    </w:p>
    <w:p>
      <w:r>
        <w:t>Die Wettbewerbsabrede wird bis zur Klärung nicht durchgesetzt; beide Seiten wahren Geschäftsgeheimnisse und Kundendaten.</w:t>
      </w:r>
    </w:p>
    <w:p>
      <w:pPr>
        <w:pStyle w:val="ListBullet"/>
      </w:pPr>
      <w:r>
        <w:t>Keine Anerkennung einer Rechtspflicht</w:t>
      </w:r>
    </w:p>
    <w:p>
      <w:pPr>
        <w:pStyle w:val="ListBullet"/>
      </w:pPr>
      <w:r>
        <w:t>Ausgleichsvorbehalt bleibt bis Berechnung offen</w:t>
      </w:r>
    </w:p>
    <w:p>
      <w:pPr>
        <w:pStyle w:val="ListBullet"/>
      </w:pPr>
      <w:r>
        <w:t>Datenrückgabe und CRM-Export gesondert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