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Kurzfassung Entscheidungsvorlage</w:t>
      </w:r>
    </w:p>
    <w:p>
      <w:r>
        <w:t>Nordstern MedTech GmbH kündigt einer langjährigen Handelsvertreteragentur nach Online-Vertriebsumstellung; streitig sind Status, Bezirksprovision, Buchauszug, Stornoreserve und Ausgleich § 89b HGB.</w:t>
      </w:r>
    </w:p>
    <w:p>
      <w:r>
        <w:t>Die Entscheidung sollte nicht auf Grundlage einzelner Schlagworte getroffen werden. Maßgeblich sind Nachweisbarkeit, Zuständigkeit, Frist und ein realistischer nächster Schritt.</w:t>
      </w:r>
    </w:p>
    <w:p>
      <w:pPr>
        <w:pStyle w:val="ListBullet"/>
      </w:pPr>
      <w:r>
        <w:t>Rote Punkte zuerst behandeln</w:t>
      </w:r>
    </w:p>
    <w:p>
      <w:pPr>
        <w:pStyle w:val="ListBullet"/>
      </w:pPr>
      <w:r>
        <w:t>Quellen live prüfen</w:t>
      </w:r>
    </w:p>
    <w:p>
      <w:pPr>
        <w:pStyle w:val="ListBullet"/>
      </w:pPr>
      <w:r>
        <w:t>Offene Tatsachen ausdrücklich offen lassen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