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Haushaltsrecht BHO Bund und Länder</w:t>
      </w:r>
    </w:p>
    <w:p>
      <w:r>
        <w:t>Haushaltsakte Bund/Land: Bürgergeld-Krankenversicherung, Verteidigungstitel, Sondervermögen, Deckungsfähigkeit, Nachtragshaushalt und Dashboard.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