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NDA-Auszug Projekt Waldkrone</w:t>
      </w:r>
    </w:p>
    <w:p>
      <w:r>
        <w:t>Die Parteien verpflichten sich, sämtliche Informationen aus dem Datenraum und alle ihnen bekannt werdenden Umstände der Geschäftstätigkeit streng geheim zu halten und gegenüber Behörden, Medien, Beschäftigten und sonstigen Dritten nicht offenzulegen.</w:t>
      </w:r>
    </w:p>
    <w:p>
      <w:r>
        <w:t>Ausgenommen sind Informationen, deren Offenlegung zwingend gesetzlich vorgeschrieben ist. Der Entwurf erwähnt Meldungen nach Hinweisgeberschutzrecht, Geschäftsgeheimnisgesetz und anwaltliche Beratung nicht ausdrücklich.</w:t>
      </w:r>
    </w:p>
    <w:p>
      <w:pPr>
        <w:pStyle w:val="ListBullet"/>
      </w:pPr>
      <w:r>
        <w:t>Risiko: chilling effect gegenüber Meldestellen</w:t>
      </w:r>
    </w:p>
    <w:p>
      <w:pPr>
        <w:pStyle w:val="ListBullet"/>
      </w:pPr>
      <w:r>
        <w:t>Risiko: unklare Behördenkontakte</w:t>
      </w:r>
    </w:p>
    <w:p>
      <w:pPr>
        <w:pStyle w:val="ListBullet"/>
      </w:pPr>
      <w:r>
        <w:t>Risiko: keine interne Eskalationslogik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