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Auswahlvermerk W3 Digital Health Governance</w:t>
      </w:r>
    </w:p>
    <w:p>
      <w:r>
        <w:t>Die Kommission schlägt Prof. Dr. Helene Tannwald auf Listenplatz 1 vor. Ein Kommissionsmitglied war zugleich Co-Antragsteller eines Industrie-Drittmittelprojekts mit ihr.</w:t>
      </w:r>
    </w:p>
    <w:p>
      <w:r>
        <w:t>Der Dekan hält die Befangenheit für fernliegend, weil die Kooperation noch nicht bewilligt sei. Der Senat verlangt eine rechtliche Prüfung vor Beschlussfassung.</w:t>
      </w:r>
    </w:p>
    <w:p>
      <w:pPr>
        <w:pStyle w:val="ListBullet"/>
      </w:pPr>
      <w:r>
        <w:t>Befangenheit prüfen</w:t>
      </w:r>
    </w:p>
    <w:p>
      <w:pPr>
        <w:pStyle w:val="ListBullet"/>
      </w:pPr>
      <w:r>
        <w:t>Gleichstellungsvotum fehlt</w:t>
      </w:r>
    </w:p>
    <w:p>
      <w:pPr>
        <w:pStyle w:val="ListBullet"/>
      </w:pPr>
      <w:r>
        <w:t>Drittmittelvertrag in Anlagen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