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Rechtsvermerk für den Senat</w:t>
      </w:r>
    </w:p>
    <w:p>
      <w:r>
        <w:t>Empfohlen wird, den Listenbeschluss nicht ohne Ergänzung der Dokumentation zu fassen. Befangenheit und Drittmittelbezug müssen transparent geprüft werden.</w:t>
      </w:r>
    </w:p>
    <w:p>
      <w:r>
        <w:t>Die Grundordnungsänderung braucht eine klare Kompetenznorm, Verfahrenssicherung und Veröffentlichung.</w:t>
      </w:r>
    </w:p>
    <w:p>
      <w:pPr>
        <w:pStyle w:val="ListBullet"/>
      </w:pPr>
      <w:r>
        <w:t>Berufungsvermerk ergänzen</w:t>
      </w:r>
    </w:p>
    <w:p>
      <w:pPr>
        <w:pStyle w:val="ListBullet"/>
      </w:pPr>
      <w:r>
        <w:t>Drittmittelklauseln redlinen</w:t>
      </w:r>
    </w:p>
    <w:p>
      <w:pPr>
        <w:pStyle w:val="ListBullet"/>
      </w:pPr>
      <w:r>
        <w:t>Ministerium mit sauberer Normenkette antworten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