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Internationaler Handelsfall Nordhafen - Arbeitsvermerk</w:t>
      </w:r>
    </w:p>
    <w:p>
      <w:r>
        <w:t>CISG-Liefervertrag, Incoterms, Akkreditiv, Sanktionen, Force Majeure und ICC-Schiedsstrategie.</w:t>
      </w:r>
    </w:p>
    <w:p>
      <w:r>
        <w:t>Offene Punkte: Rechtsquelle, Beleglage, Gegenposition, Frist, taktische Eskalation.</w:t>
      </w:r>
    </w:p>
    <w:p>
      <w:r>
        <w:t>Hinweis: Keine nicht verifizierbaren Fundstellen verwenden; bei Tagesrecht live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