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Kommunalrecht der Länder</w:t>
      </w:r>
    </w:p>
    <w:p>
      <w:r>
        <w:t>Kommunalakte Morgenfurt: Bürgerentscheid, Kita-Satzung, Haushaltssicherung, Stadtwerke, Sondernutzung und Kommunalaufsicht.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