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Status Report — 03.06.2026</w:t>
      </w:r>
    </w:p>
    <w:p>
      <w:r>
        <w:t>Done: Abmahnung versandt, Anlagenstruktur K1-K18 angelegt, erster Eilantragsentwurf steht.</w:t>
      </w:r>
    </w:p>
    <w:p>
      <w:r>
        <w:t>Doing: Dringlichkeitsvermerk, EV Hellfeld, Schwärzung Laborberichte, Budget-Reforecast.</w:t>
      </w:r>
    </w:p>
    <w:p>
      <w:r>
        <w:t>Blocked: Procurement-Freigabe externer ATMP-Berater und Board-Freigabe Vergleichsfenster.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