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Kurzfassung Entscheidungsvorlage</w:t>
      </w:r>
    </w:p>
    <w:p>
      <w:r>
        <w:t>Lahnwerke Maschinenbau AG rollt Slack aus, verfolgt LKW-Werkzeugcontainer mit AirTags, betreibt MDM auf Firmenhandys und hat nach einem Lieferanten-VPN-Vorfall Zweifel an NIS-2-/BSI-Reife.</w:t>
      </w:r>
    </w:p>
    <w:p>
      <w:r>
        <w:t>Die Entscheidung sollte nicht auf Grundlage einzelner Schlagworte getroffen werden. Maßgeblich sind Nachweisbarkeit, Zuständigkeit, Frist und ein realistischer nächster Schritt.</w:t>
      </w:r>
    </w:p>
    <w:p>
      <w:pPr>
        <w:pStyle w:val="ListBullet"/>
      </w:pPr>
      <w:r>
        <w:t>Rote Punkte zuerst behandeln</w:t>
      </w:r>
    </w:p>
    <w:p>
      <w:pPr>
        <w:pStyle w:val="ListBullet"/>
      </w:pPr>
      <w:r>
        <w:t>Quellen live prüfen</w:t>
      </w:r>
    </w:p>
    <w:p>
      <w:pPr>
        <w:pStyle w:val="ListBullet"/>
      </w:pPr>
      <w:r>
        <w:t>Offene Tatsachen ausdrücklich offen lassen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