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Ordnungswidrigkeitenrecht</w:t>
      </w:r>
    </w:p>
    <w:p>
      <w:r>
        <w:t>OWiG-Akte: Gewerbe-, Datenschutz-, Tierschutz- und Verkehrsbußgeld mit Anhörung, Einspruch, Akteneinsicht und Verjährung.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