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22"/>
        </w:rPr>
        <w:t>Arbeitsvermerk PrALR - Wusterhagen</w:t>
      </w:r>
    </w:p>
    <w:p>
      <w:r>
        <w:t>Bearbeitungsstand: vorläufiger Quellen- und Geltungsvermerk. Keine abschließende Rechtsanwendung ohne Scan-Gegenprobe und aktuelles Landesrecht.</w:t>
      </w:r>
    </w:p>
    <w:p>
      <w:pPr>
        <w:pStyle w:val="Heading1"/>
      </w:pPr>
      <w:r>
        <w:t>1. Kernproblem</w:t>
      </w:r>
    </w:p>
    <w:p>
      <w:r>
        <w:t>Die Akte verbindet eine historische PrALR-Frage mit einem heutigen Wasser-/Nachbarrechts- und Entschädigungsproblem. Der historische Text darf nicht als unmittelbare Anspruchsgrundlage behauptet werden, solange Geltung, Ort, Zeit und heutige Fortwirkung ungeklärt sind.</w:t>
      </w:r>
    </w:p>
    <w:p>
      <w:pPr>
        <w:pStyle w:val="Heading1"/>
      </w:pPr>
      <w:r>
        <w:t>2. Textzeugen</w:t>
      </w:r>
    </w:p>
    <w:p>
      <w:r>
        <w:t>Zwei PDFs stammen aus unterschiedlichen bibliographischen Kontexten. Beide sind als Textzeugen zu behandeln. OCR-Lesarten sind nur Arbeitshilfen; entscheidend bleibt der Scan.</w:t>
      </w:r>
    </w:p>
    <w:p>
      <w:pPr>
        <w:pStyle w:val="Heading1"/>
      </w:pPr>
      <w:r>
        <w:t>3. Prüfprogramm</w:t>
      </w:r>
    </w:p>
    <w:p>
      <w:pPr>
        <w:pStyle w:val="ListBullet"/>
      </w:pPr>
      <w:r>
        <w:t>Titelblatt und Jahr prüfen</w:t>
      </w:r>
    </w:p>
    <w:p>
      <w:pPr>
        <w:pStyle w:val="ListBullet"/>
      </w:pPr>
      <w:r>
        <w:t>Band, Teil, Titel und Paragraph erfassen</w:t>
      </w:r>
    </w:p>
    <w:p>
      <w:pPr>
        <w:pStyle w:val="ListBullet"/>
      </w:pPr>
      <w:r>
        <w:t>Ort und historische Rechtslandschaft klären</w:t>
      </w:r>
    </w:p>
    <w:p>
      <w:pPr>
        <w:pStyle w:val="ListBullet"/>
      </w:pPr>
      <w:r>
        <w:t>heutiges Wasser-, Nachbar- und Staatshaftungsrecht prüfen</w:t>
      </w:r>
    </w:p>
    <w:p>
      <w:pPr>
        <w:pStyle w:val="ListBullet"/>
      </w:pPr>
      <w:r>
        <w:t>PrALR nur mit sauberer Funktion verwenden</w:t>
      </w:r>
    </w:p>
    <w:p>
      <w:pPr>
        <w:pStyle w:val="Heading1"/>
      </w:pPr>
      <w:r>
        <w:t>4. Erste Bewertung</w:t>
      </w:r>
    </w:p>
    <w:p>
      <w:r>
        <w:t>Der Aufopferungsgedanke kann dogmengeschichtlich relevant sein. Für ein Schreiben an die Behörde sollte aber vorrangig mit heutigem Recht gearbeitet werden. Das PrALR kann die historische Linie erklären, nicht die moderne Prüfung ersetzen.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