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Entwurf Widerspruch und Akteneinsicht</w:t>
      </w:r>
    </w:p>
    <w:p>
      <w:r>
        <w:t>Gegen den Bescheid wird vorsorglich Widerspruch eingelegt. Zugleich wird vollständige Akteneinsicht einschließlich Kopien, Bewertungsunterlagen, Protokollen und Unterlagen zum KI-Vorwurf beantragt.</w:t>
      </w:r>
    </w:p>
    <w:p>
      <w:r>
        <w:t>Die Begründung bleibt der ergänzten Akteneinsicht vorbehalten. Bereits jetzt werden die Anwendung einer alten Prüfungsordnung und die fehlende Substantiierung des KI-Vorwurfs gerügt.</w:t>
      </w:r>
    </w:p>
    <w:p>
      <w:pPr>
        <w:pStyle w:val="ListBullet"/>
      </w:pPr>
      <w:r>
        <w:t>Fristwahrung</w:t>
      </w:r>
    </w:p>
    <w:p>
      <w:pPr>
        <w:pStyle w:val="ListBullet"/>
      </w:pPr>
      <w:r>
        <w:t>Akteneinsicht</w:t>
      </w:r>
    </w:p>
    <w:p>
      <w:pPr>
        <w:pStyle w:val="ListBullet"/>
      </w:pPr>
      <w:r>
        <w:t>Eilantrag bei Exmatrikulation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