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Römischrechtliche Fallakte Aventinus - Arbeitsvermerk</w:t>
      </w:r>
    </w:p>
    <w:p>
      <w:r>
        <w:t>Kauf, Besitzschutz, Servitut, Erbschaft und Digestenargument in einer Lehr- und Gutachtenakte.</w:t>
      </w:r>
    </w:p>
    <w:p>
      <w:r>
        <w:t>Offene Punkte: Rechtsquelle, Beleglage, Gegenposition, Frist, taktische Eskalation.</w:t>
      </w:r>
    </w:p>
    <w:p>
      <w:r>
        <w:t>Hinweis: Keine nicht verifizierbaren Fundstellen verwenden; bei Tagesrecht live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