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Schreiben der Schulleitung</w:t>
      </w:r>
    </w:p>
    <w:p>
      <w:r>
        <w:t>Die Schulleitung des Lindenhof-Gymnasiums teilt mit, dass Amalia Reben wegen eines Handyvideos und wiederholter Störungen bis zur Klassenkonferenz nicht am Unterricht teilnehmen soll. Zugleich wird ein Schulwechsel empfohlen.</w:t>
      </w:r>
    </w:p>
    <w:p>
      <w:r>
        <w:t>Das Schreiben enthält keine Rechtsbehelfsbelehrung. Unklar ist, ob es nur eine pädagogische Maßnahme, eine vorläufige Ordnungsmaßnahme oder ein Verwaltungsakt sein soll.</w:t>
      </w:r>
    </w:p>
    <w:p>
      <w:pPr>
        <w:pStyle w:val="ListBullet"/>
      </w:pPr>
      <w:r>
        <w:t>Nachteilsausgleich LRS/ADHS wird nicht erwähnt</w:t>
      </w:r>
    </w:p>
    <w:p>
      <w:pPr>
        <w:pStyle w:val="ListBullet"/>
      </w:pPr>
      <w:r>
        <w:t>Eltern wurden nur per Mail informiert</w:t>
      </w:r>
    </w:p>
    <w:p>
      <w:pPr>
        <w:pStyle w:val="ListBullet"/>
      </w:pPr>
      <w:r>
        <w:t>Mobbingvorgeschichte fehlt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