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Entwurf Widerspruch und Eilbitte</w:t>
      </w:r>
    </w:p>
    <w:p>
      <w:r>
        <w:t>Namens der Eltern wird die Aufhebung des Unterrichtsausschlusses und hilfsweise die unverzügliche Beschulung mit Lernmaterial, Fördermaßnahmen und Schutzkonzept beantragt.</w:t>
      </w:r>
    </w:p>
    <w:p>
      <w:r>
        <w:t>Die Rechtsqualität des Schreibens ist unklar. Vorsorglich wird Widerspruch eingelegt und Akteneinsicht beantragt.</w:t>
      </w:r>
    </w:p>
    <w:p>
      <w:pPr>
        <w:pStyle w:val="ListBullet"/>
      </w:pPr>
      <w:r>
        <w:t>Anhörung rügen</w:t>
      </w:r>
    </w:p>
    <w:p>
      <w:pPr>
        <w:pStyle w:val="ListBullet"/>
      </w:pPr>
      <w:r>
        <w:t>Nachteilsausgleich einziehen</w:t>
      </w:r>
    </w:p>
    <w:p>
      <w:pPr>
        <w:pStyle w:val="ListBullet"/>
      </w:pPr>
      <w:r>
        <w:t>Mobbing-Schutzpflichten prüfen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