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SaaS Master Agreement - Auszug RouteLuchs</w:t>
      </w:r>
    </w:p>
    <w:p>
      <w:pPr>
        <w:pStyle w:val="Heading1"/>
      </w:pPr>
      <w:r>
        <w:t>1. Leistungsgegenstand</w:t>
      </w:r>
    </w:p>
    <w:p>
      <w:r>
        <w:t>Codeforst stellt Sonnenklee die Cloudplattform RouteLuchs einschließlich DispatchMind, LuchsBox Connector und API-Zugang als gehosteten Dienst bereit. Eine Überlassung von Quellcode findet nicht statt, soweit Anlage 5 nichts anderes regelt.</w:t>
      </w:r>
    </w:p>
    <w:p>
      <w:pPr>
        <w:pStyle w:val="Heading1"/>
      </w:pPr>
      <w:r>
        <w:t>2. Nutzungsumfang</w:t>
      </w:r>
    </w:p>
    <w:p>
      <w:r>
        <w:t>Die Nutzung ist auf 480 Named User und die in der Order Form bezeichneten Affiliates beschränkt. System-, API- und Serviceaccounts werden nicht ausdrücklich erwähnt. Werkstattpartner dürfen nur zugreifen, soweit sie als Nutzer angelegt sind und die Vertraulichkeitsregeln akzeptiert haben.</w:t>
      </w:r>
    </w:p>
    <w:p>
      <w:pPr>
        <w:pStyle w:val="Heading1"/>
      </w:pPr>
      <w:r>
        <w:t>3. Rechte an Arbeitsergebnissen</w:t>
      </w:r>
    </w:p>
    <w:p>
      <w:r>
        <w:t>Codeforst bleibt Inhaberin aller Rechte an der Plattform. Sonnenklee erhält ein einfaches, nicht übertragbares Zugriffsrecht während der Vertragslaufzeit. Abweichend davon werden kundenspezifische Auswertungen dem Kunden zur internen Verwendung überlassen. Die Klausel sagt nicht, ob Feedback, Trainingsdaten und Konfigurationen erfasst sind.</w:t>
      </w:r>
    </w:p>
    <w:p>
      <w:pPr>
        <w:pStyle w:val="Heading1"/>
      </w:pPr>
      <w:r>
        <w:t>4. Audit</w:t>
      </w:r>
    </w:p>
    <w:p>
      <w:r>
        <w:t>Codeforst darf einmal jährlich die Einhaltung der Lizenzmetrik prüfen. Die Prüfung erfolgt remote, während üblicher Geschäftszeiten und nach angemessener Vorankündigung. Datenschutz, Source-Code-Schutz und Kostenfolge bei Minderbefund sind nicht geregelt.</w:t>
      </w:r>
    </w:p>
    <w:p>
      <w:pPr>
        <w:pStyle w:val="Heading1"/>
      </w:pPr>
      <w:r>
        <w:t>5. Haftung</w:t>
      </w:r>
    </w:p>
    <w:p>
      <w:r>
        <w:t>Die Haftung ist auf zwölf Monatsgebühren begrenzt. Ausnahmen bestehen für Vorsatz, grobe Fahrlässigkeit und Verletzung von Leben, Körper oder Gesundheit. IP-Freistellung, Datenschutzverletzungen und Geheimnisverletzungen werden nicht gesondert behandelt.</w:t>
      </w:r>
    </w:p>
    <w:sectPr w:rsidR="00FC693F" w:rsidRPr="0006063C" w:rsidSect="00034616">
      <w:pgSz w:w="12240" w:h="15840"/>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