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Contractor Agreement - Ephraim Caldwell - Auszug</w:t>
      </w:r>
    </w:p>
    <w:p>
      <w:pPr>
        <w:pStyle w:val="Heading1"/>
      </w:pPr>
      <w:r>
        <w:t>Scope of Work</w:t>
      </w:r>
    </w:p>
    <w:p>
      <w:r>
        <w:t>Contractor will implement matching routines, graph pruning and performance improvements for RouteLuchs DispatchMind. Deliverables are accepted through GitHub pull requests and Jira closure.</w:t>
      </w:r>
    </w:p>
    <w:p>
      <w:pPr>
        <w:pStyle w:val="Heading1"/>
      </w:pPr>
      <w:r>
        <w:t>Work Made for Hire</w:t>
      </w:r>
    </w:p>
    <w:p>
      <w:r>
        <w:t>All deliverables shall be deemed work made for hire to the fullest extent permitted by applicable law. The clause does not contain an express present assignment of rights if work-made-for-hire treatment fails.</w:t>
      </w:r>
    </w:p>
    <w:p>
      <w:pPr>
        <w:pStyle w:val="Heading1"/>
      </w:pPr>
      <w:r>
        <w:t>Open Source and Third Party Code</w:t>
      </w:r>
    </w:p>
    <w:p>
      <w:r>
        <w:t>Contractor shall not introduce third-party code without prior written approval. No schedule of approved components is attached.</w:t>
      </w:r>
    </w:p>
    <w:p>
      <w:pPr>
        <w:pStyle w:val="Heading1"/>
      </w:pPr>
      <w:r>
        <w:t>Governing Law</w:t>
      </w:r>
    </w:p>
    <w:p>
      <w:r>
        <w:t>The agreement states Delaware law, while the purchase order refers to German law and Munich venue. No conflict clause explains priority.</w:t>
      </w:r>
    </w:p>
    <w:sectPr w:rsidR="00FC693F" w:rsidRPr="0006063C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