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Briefing RouteLuchs - Rechtekette, Kunde, Investor</w:t>
      </w:r>
    </w:p>
    <w:p>
      <w:pPr>
        <w:pStyle w:val="Heading1"/>
      </w:pPr>
      <w:r>
        <w:t>Executive Summary</w:t>
      </w:r>
    </w:p>
    <w:p>
      <w:r>
        <w:t>Die Lage ist nicht unrettbar, aber sie ist nicht diligence-ready. Drei rote Punkte müssen vor einer Investorenerklärung geschlossen werden: Mara-Vorcode, US-Contractor-Assignment und GraphWeaver-AGPL.</w:t>
      </w:r>
    </w:p>
    <w:p>
      <w:pPr>
        <w:pStyle w:val="Heading1"/>
      </w:pPr>
      <w:r>
        <w:t>Kundenstreit Sonnenklee</w:t>
      </w:r>
    </w:p>
    <w:p>
      <w:r>
        <w:t>Die Lizenzüberschreitung ist vertretbar, aber nicht narrensicher. Die stärksten Punkte sind Affiliate-Rollout und Werkstattpartnerzugriff; Named-User-Unterzählung allein trägt wegen Serviceaccount-Unschärfe nicht.</w:t>
      </w:r>
    </w:p>
    <w:p>
      <w:pPr>
        <w:pStyle w:val="Heading1"/>
      </w:pPr>
      <w:r>
        <w:t>Investor-DD</w:t>
      </w:r>
    </w:p>
    <w:p>
      <w:r>
        <w:t>Keine “clean IP”-Bestätigung ohne Schedule of Exceptions. Besser: offener Remediation-Plan, Sign-off-Termine, kontrollierte Escrow-Aussage und technische SBOM-Sanierung.</w:t>
      </w:r>
    </w:p>
    <w:p>
      <w:pPr>
        <w:pStyle w:val="Heading1"/>
      </w:pPr>
      <w:r>
        <w:t>Sofortmaßnahmen</w:t>
      </w:r>
    </w:p>
    <w:p>
      <w:pPr>
        <w:pStyle w:val="ListBullet"/>
      </w:pPr>
      <w:r>
        <w:t>Legal Hold für Git/Jira/Slack</w:t>
      </w:r>
    </w:p>
    <w:p>
      <w:pPr>
        <w:pStyle w:val="ListBullet"/>
      </w:pPr>
      <w:r>
        <w:t>Keine neuen Sales-Zusagen ohne Legal</w:t>
      </w:r>
    </w:p>
    <w:p>
      <w:pPr>
        <w:pStyle w:val="ListBullet"/>
      </w:pPr>
      <w:r>
        <w:t>Nachtragsvereinbarung Mara vorbereiten</w:t>
      </w:r>
    </w:p>
    <w:p>
      <w:pPr>
        <w:pStyle w:val="ListBullet"/>
      </w:pPr>
      <w:r>
        <w:t>US assignment short form senden</w:t>
      </w:r>
    </w:p>
    <w:p>
      <w:pPr>
        <w:pStyle w:val="ListBullet"/>
      </w:pPr>
      <w:r>
        <w:t>GraphWeaver-Alternativen in Sprint planen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