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Angebot und Mini-AGB Falkenberg Design</w:t>
      </w:r>
    </w:p>
    <w:p>
      <w:pPr>
        <w:pStyle w:val="Heading2"/>
      </w:pPr>
      <w:r>
        <w:t>Angebot</w:t>
      </w:r>
    </w:p>
    <w:p>
      <w:r>
        <w:t>Markenworkshop, visuelles Konzept und 20 Folien Masterdeck für 3.900 EUR netto/umsatzsteuerliche Behandlung noch zu klären.</w:t>
      </w:r>
    </w:p>
    <w:p>
      <w:pPr>
        <w:pStyle w:val="Heading2"/>
      </w:pPr>
      <w:r>
        <w:t>Mitwirkung</w:t>
      </w:r>
    </w:p>
    <w:p>
      <w:r>
        <w:t>Kundin liefert Briefing, vorhandene CI, Zielgruppenbeschreibung und Freigabe binnen drei Werktagen.</w:t>
      </w:r>
    </w:p>
    <w:p>
      <w:pPr>
        <w:pStyle w:val="Heading2"/>
      </w:pPr>
      <w:r>
        <w:t>Nutzungsrechte</w:t>
      </w:r>
    </w:p>
    <w:p>
      <w:r>
        <w:t>Nutzungsrechte gehen erst nach vollständiger Zahlung über. Nicht ausgewählte Entwürfe bleiben bei Luise.</w:t>
      </w:r>
    </w:p>
    <w:p>
      <w:pPr>
        <w:pStyle w:val="Heading2"/>
      </w:pPr>
      <w:r>
        <w:t>Offen</w:t>
      </w:r>
    </w:p>
    <w:p>
      <w:r>
        <w:t>Widerruf, Verbraucherauftrag, Datenschutz, Haftungsbegrenzung, Änderungsrunden und Referenznennung sind noch nicht sauber geregelt.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