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Satzung und Geschäftsführerregelung - Auszug</w:t>
      </w:r>
    </w:p>
    <w:p>
      <w:pPr>
        <w:pStyle w:val="Heading1"/>
      </w:pPr>
      <w:r>
        <w:t>Gesellschafter</w:t>
      </w:r>
    </w:p>
    <w:p>
      <w:r>
        <w:t>Dr. Balduin Klingenhain hält 50% der Geschäftsanteile. Die Kulturhof Stiftung hält 50%.</w:t>
      </w:r>
    </w:p>
    <w:p>
      <w:pPr>
        <w:pStyle w:val="Heading1"/>
      </w:pPr>
      <w:r>
        <w:t>Beschlüsse</w:t>
      </w:r>
    </w:p>
    <w:p>
      <w:r>
        <w:t>Gesellschafterbeschlüsse werden mit einfacher Mehrheit gefasst, soweit Gesetz oder Satzung nichts anderes bestimmen. Bei Stimmengleichheit gilt ein Antrag als abgelehnt.</w:t>
      </w:r>
    </w:p>
    <w:p>
      <w:pPr>
        <w:pStyle w:val="Heading1"/>
      </w:pPr>
      <w:r>
        <w:t>Geschäftsführung</w:t>
      </w:r>
    </w:p>
    <w:p>
      <w:r>
        <w:t>Die Geschäftsführer unterliegen den Weisungen der Gesellschafterversammlung. Der Katalog zustimmungspflichtiger Geschäfte erfasst Investitionen über 50.000 EUR, Personalabbau ab fünf Vollzeitstellen und Aufnahme langfristiger Mietverträge.</w:t>
      </w:r>
    </w:p>
    <w:p>
      <w:pPr>
        <w:pStyle w:val="Heading1"/>
      </w:pPr>
      <w:r>
        <w:t>Nebenabrede Gründerbrief</w:t>
      </w:r>
    </w:p>
    <w:p>
      <w:r>
        <w:t>Ein privatschriftlicher Gründerbrief gewährt Dr. Klingenhain ein Vetorecht gegen Änderung des Unterrichtsprofils. Die Abrede ist nicht als Satzungsbestandteil ersichtlich.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