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Straßenrecht und Infrastruktur</w:t>
      </w:r>
    </w:p>
    <w:p>
      <w:r>
        <w:t>Straßenrechtsakte Auenfeld: Ortsdurchfahrt, Brückensanierung, Widmung, Sondernutzung, Umleitung, Anliegerkonflikt und Planänderung.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