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Arbeitsvermerk Straßenverkehrsrecht StVO</w:t>
      </w:r>
    </w:p>
    <w:p>
      <w:r>
        <w:t>StVO-Akte Schulstraße/Lieferzone: Verkehrszeichen, Anordnung, Ausnahmegenehmigung, Abschleppen, Radweg und Eilrechtsschutz.</w:t>
      </w:r>
    </w:p>
    <w:p>
      <w:r>
        <w:t>Der Vermerk trennt Sachverhalt, Rechtsgrundlage, Zuständigkeit, Frist, Kostenrisiko, Beweisbedarf und nächsten Schritt.</w:t>
      </w:r>
    </w:p>
    <w:p>
      <w:r>
        <w:t>Rechtsstand, Rechtsprechung und Behördenpraxis sind vor produktiver Nutzung live zu prüfen.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