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Tierschutzrecht</w:t>
      </w:r>
    </w:p>
    <w:p>
      <w:r>
        <w:t>Tierschutzakte Pferdehof Auenwiese: Veterinäramt, Haltungsanordnung, Wegnahme, Strafanzeige, Kosten und § 90a BGB.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