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Umweltschutzverband Verbandsklage</w:t>
      </w:r>
    </w:p>
    <w:p>
      <w:r>
        <w:t>Umweltverbandsakte Moorbach: Windpark, UVP-Vorprüfung, Artenschutz, UIG-Akte, Einwendung, Eilantrag und § 47-VwGO-Reserve.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