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 Memo Entwurf Nebelstern Ventures</w:t>
      </w:r>
    </w:p>
    <w:p>
      <w:r>
        <w:t>Kognitix Flow ist als Pre-Seed-Deal interessant, aber erst investierbar, wenn Datenherkunft, IP-Chain und deutsches Wandeldarlehen sauber sind.</w:t>
      </w:r>
    </w:p>
    <w:p>
      <w:r>
        <w:t>Greifarm Robotics ist der stärkste Deal, benötigt aber Exportkontroll- und IP-Cure vor Signing.</w:t>
      </w:r>
    </w:p>
    <w:p>
      <w:r>
        <w:t>Moosstrom Speicher ist akut. Die Bridge kann sinnvoll sein, wenn Milestones, Down-Round-Fairness und Insolvenzampel beherrschbar sind.</w:t>
      </w:r>
    </w:p>
    <w:p>
      <w:r>
        <w:t>Empfehlung: Greifarm vorbereiten, Kognitix watch/conditional commit, Moosstrom nur mit harten Bridge-Bedingungen.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