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Anwaltscall Nebelstern - offene Rechtsfragen</w:t>
      </w:r>
    </w:p>
    <w:p>
      <w:r>
        <w:t>KAGB/AIF: Bitte prüfen, ob die geplante SPV-Struktur durch Pooling mehrerer Family-Office-Zeichner in Richtung Investmentvermögen kippt.</w:t>
      </w:r>
    </w:p>
    <w:p>
      <w:r>
        <w:t>Greifarm: Exportkontrolle, Dual-Use und CTO-IP Assignment sind Closing Conditions.</w:t>
      </w:r>
    </w:p>
    <w:p>
      <w:r>
        <w:t>Kognitix: Delaware SAFE nicht ohne deutsche Wandeldarlehensstruktur verwenden.</w:t>
      </w:r>
    </w:p>
    <w:p>
      <w:r>
        <w:t>Moosstrom: Bridge nur nach Insolvenz- und Minderheitenschutzprüfung.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