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Kandidatinnenbriefing Kamera und Podium</w:t>
      </w:r>
    </w:p>
    <w:p>
      <w:r>
        <w:t>Ziel: ruhig, konkret, nicht künstlich wirken. Jede Antwort beginnt mit einem Satz, der auch als Clip bestehen kann.</w:t>
      </w:r>
    </w:p>
    <w:p>
      <w:r>
        <w:t>Bei Provokation: nicht mit der Provokation leben, sondern zum Anliegen zurückführen.</w:t>
      </w:r>
    </w:p>
    <w:p>
      <w:r>
        <w:t>Drei Brücken: lokale Erfahrung, belegbarer Punkt, Einladung zum Gespräch.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Frage</w:t>
            </w:r>
          </w:p>
        </w:tc>
        <w:tc>
          <w:tcPr>
            <w:tcW w:type="dxa" w:w="2880"/>
          </w:tcPr>
          <w:p>
            <w:r>
              <w:t>Antwortkern</w:t>
            </w:r>
          </w:p>
        </w:tc>
        <w:tc>
          <w:tcPr>
            <w:tcW w:type="dxa" w:w="2880"/>
          </w:tcPr>
          <w:p>
            <w:r>
              <w:t>Freigabe</w:t>
            </w:r>
          </w:p>
        </w:tc>
      </w:tr>
      <w:tr>
        <w:tc>
          <w:tcPr>
            <w:tcW w:type="dxa" w:w="2880"/>
          </w:tcPr>
          <w:p>
            <w:r>
              <w:t>Was ist passiert?</w:t>
            </w:r>
          </w:p>
        </w:tc>
        <w:tc>
          <w:tcPr>
            <w:tcW w:type="dxa" w:w="2880"/>
          </w:tcPr>
          <w:p>
            <w:r>
              <w:t>Wir prüfen den vollständigen Kontext und bleiben bei belegbaren Informationen.</w:t>
            </w:r>
          </w:p>
        </w:tc>
        <w:tc>
          <w:tcPr>
            <w:tcW w:type="dxa" w:w="2880"/>
          </w:tcPr>
          <w:p>
            <w:r>
              <w:t>Presse</w:t>
            </w:r>
          </w:p>
        </w:tc>
      </w:tr>
      <w:tr>
        <w:tc>
          <w:tcPr>
            <w:tcW w:type="dxa" w:w="2880"/>
          </w:tcPr>
          <w:p>
            <w:r>
              <w:t>Warum reagieren Sie?</w:t>
            </w:r>
          </w:p>
        </w:tc>
        <w:tc>
          <w:tcPr>
            <w:tcW w:type="dxa" w:w="2880"/>
          </w:tcPr>
          <w:p>
            <w:r>
              <w:t>Weil falsche Eindrücke schnell entstehen und wir sie sachlich korrigieren.</w:t>
            </w:r>
          </w:p>
        </w:tc>
        <w:tc>
          <w:tcPr>
            <w:tcW w:type="dxa" w:w="2880"/>
          </w:tcPr>
          <w:p>
            <w:r>
              <w:t>Kampagne</w:t>
            </w:r>
          </w:p>
        </w:tc>
      </w:tr>
      <w:tr>
        <w:tc>
          <w:tcPr>
            <w:tcW w:type="dxa" w:w="2880"/>
          </w:tcPr>
          <w:p>
            <w:r>
              <w:t>Was passiert intern?</w:t>
            </w:r>
          </w:p>
        </w:tc>
        <w:tc>
          <w:tcPr>
            <w:tcW w:type="dxa" w:w="2880"/>
          </w:tcPr>
          <w:p>
            <w:r>
              <w:t>Das Team wird erneut auf Ton, Fakten und Dokumentation gebrieft.</w:t>
            </w:r>
          </w:p>
        </w:tc>
        <w:tc>
          <w:tcPr>
            <w:tcW w:type="dxa" w:w="2880"/>
          </w:tcPr>
          <w:p>
            <w:r>
              <w:t>Leitung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