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SignLight EXE201 Outcome 1 Presentation Script</w:t>
      </w:r>
    </w:p>
    <w:p>
      <w:r>
        <w:t>English speaking script for the 15-slide presentation. Only Lê Tùng Dương, Nguyễn Thế Duy and Phan Bùi Bá Đạt speak. Phạm Việt Hoàng and Hoàng Xuân Thọ remain listed on the team slide for their finance, business and marketing responsibilities.</w:t>
      </w:r>
    </w:p>
    <w:p>
      <w:r>
        <w:t>Run time: approximately 20 minutes 40 seconds for slides and live actions, followed by 2–3 minutes of questions. The slide deck and this script should be rehearsed together; demo pauses are included in the target times.</w:t>
      </w:r>
    </w:p>
    <w:p>
      <w:pPr>
        <w:pStyle w:val="Heading1"/>
      </w:pPr>
      <w:r>
        <w:t>Speaker and timing plan</w:t>
      </w:r>
    </w:p>
    <w:tbl>
      <w:tblPr>
        <w:tblW w:type="auto" w:w="0"/>
        <w:jc w:val="center"/>
        <w:tblLayout w:type="fixed"/>
        <w:tblLook w:firstColumn="1" w:firstRow="1" w:lastColumn="0" w:lastRow="0" w:noHBand="0" w:noVBand="1" w:val="04A0"/>
      </w:tblPr>
      <w:tblGrid>
        <w:gridCol w:w="2390"/>
        <w:gridCol w:w="3888"/>
        <w:gridCol w:w="3384"/>
      </w:tblGrid>
      <w:tr>
        <w:tc>
          <w:tcPr>
            <w:tcW w:type="dxa" w:w="3331"/>
            <w:vAlign w:val="center"/>
            <w:shd w:fill="203148"/>
            <w:tcBorders>
              <w:top w:val="single" w:sz="4" w:color="D9D9D9"/>
              <w:left w:val="single" w:sz="4" w:color="D9D9D9"/>
              <w:bottom w:val="single" w:sz="4" w:color="D9D9D9"/>
              <w:right w:val="single" w:sz="4" w:color="D9D9D9"/>
            </w:tcBorders>
          </w:tcPr>
          <w:p>
            <w:r>
              <w:rPr>
                <w:b/>
                <w:color w:val="FFFFFF"/>
                <w:sz w:val="19"/>
              </w:rPr>
              <w:t>Speaker</w:t>
            </w:r>
          </w:p>
        </w:tc>
        <w:tc>
          <w:tcPr>
            <w:tcW w:type="dxa" w:w="3331"/>
            <w:vAlign w:val="center"/>
            <w:shd w:fill="203148"/>
            <w:tcBorders>
              <w:top w:val="single" w:sz="4" w:color="D9D9D9"/>
              <w:left w:val="single" w:sz="4" w:color="D9D9D9"/>
              <w:bottom w:val="single" w:sz="4" w:color="D9D9D9"/>
              <w:right w:val="single" w:sz="4" w:color="D9D9D9"/>
            </w:tcBorders>
          </w:tcPr>
          <w:p>
            <w:r>
              <w:rPr>
                <w:b/>
                <w:color w:val="FFFFFF"/>
                <w:sz w:val="19"/>
              </w:rPr>
              <w:t>Slides</w:t>
            </w:r>
          </w:p>
        </w:tc>
        <w:tc>
          <w:tcPr>
            <w:tcW w:type="dxa" w:w="3331"/>
            <w:vAlign w:val="center"/>
            <w:shd w:fill="203148"/>
            <w:tcBorders>
              <w:top w:val="single" w:sz="4" w:color="D9D9D9"/>
              <w:left w:val="single" w:sz="4" w:color="D9D9D9"/>
              <w:bottom w:val="single" w:sz="4" w:color="D9D9D9"/>
              <w:right w:val="single" w:sz="4" w:color="D9D9D9"/>
            </w:tcBorders>
          </w:tcPr>
          <w:p>
            <w:r>
              <w:rPr>
                <w:b/>
                <w:color w:val="FFFFFF"/>
                <w:sz w:val="19"/>
              </w:rPr>
              <w:t>Approximate time</w:t>
            </w:r>
          </w:p>
        </w:tc>
      </w:tr>
      <w:tr>
        <w:tc>
          <w:tcPr>
            <w:tcW w:type="dxa" w:w="2390"/>
            <w:vAlign w:val="center"/>
            <w:tcBorders>
              <w:top w:val="single" w:sz="4" w:color="D9D9D9"/>
              <w:left w:val="single" w:sz="4" w:color="D9D9D9"/>
              <w:bottom w:val="single" w:sz="4" w:color="D9D9D9"/>
              <w:right w:val="single" w:sz="4" w:color="D9D9D9"/>
            </w:tcBorders>
          </w:tcPr>
          <w:p>
            <w:pPr>
              <w:spacing w:after="40"/>
            </w:pPr>
            <w:r>
              <w:rPr>
                <w:sz w:val="18"/>
              </w:rPr>
              <w:t>Nguyễn Thế Duy</w:t>
            </w:r>
          </w:p>
        </w:tc>
        <w:tc>
          <w:tcPr>
            <w:tcW w:type="dxa" w:w="3888"/>
            <w:vAlign w:val="center"/>
            <w:tcBorders>
              <w:top w:val="single" w:sz="4" w:color="D9D9D9"/>
              <w:left w:val="single" w:sz="4" w:color="D9D9D9"/>
              <w:bottom w:val="single" w:sz="4" w:color="D9D9D9"/>
              <w:right w:val="single" w:sz="4" w:color="D9D9D9"/>
            </w:tcBorders>
          </w:tcPr>
          <w:p>
            <w:pPr>
              <w:spacing w:after="40"/>
            </w:pPr>
            <w:r>
              <w:rPr>
                <w:sz w:val="18"/>
              </w:rPr>
              <w:t>1, 2, 5, 6, 8, 12, 13, 14, 15</w:t>
            </w:r>
          </w:p>
        </w:tc>
        <w:tc>
          <w:tcPr>
            <w:tcW w:type="dxa" w:w="3384"/>
            <w:vAlign w:val="center"/>
            <w:tcBorders>
              <w:top w:val="single" w:sz="4" w:color="D9D9D9"/>
              <w:left w:val="single" w:sz="4" w:color="D9D9D9"/>
              <w:bottom w:val="single" w:sz="4" w:color="D9D9D9"/>
              <w:right w:val="single" w:sz="4" w:color="D9D9D9"/>
            </w:tcBorders>
          </w:tcPr>
          <w:p>
            <w:pPr>
              <w:spacing w:after="40"/>
            </w:pPr>
            <w:r>
              <w:rPr>
                <w:sz w:val="18"/>
              </w:rPr>
              <w:t>9 min 20 sec</w:t>
            </w:r>
          </w:p>
        </w:tc>
      </w:tr>
      <w:tr>
        <w:tc>
          <w:tcPr>
            <w:tcW w:type="dxa" w:w="2390"/>
            <w:vAlign w:val="center"/>
            <w:tcBorders>
              <w:top w:val="single" w:sz="4" w:color="D9D9D9"/>
              <w:left w:val="single" w:sz="4" w:color="D9D9D9"/>
              <w:bottom w:val="single" w:sz="4" w:color="D9D9D9"/>
              <w:right w:val="single" w:sz="4" w:color="D9D9D9"/>
            </w:tcBorders>
            <w:shd w:fill="EAF4F3"/>
          </w:tcPr>
          <w:p>
            <w:pPr>
              <w:spacing w:after="40"/>
            </w:pPr>
            <w:r>
              <w:rPr>
                <w:sz w:val="18"/>
              </w:rPr>
              <w:t>Lê Tùng Dương</w:t>
            </w:r>
          </w:p>
        </w:tc>
        <w:tc>
          <w:tcPr>
            <w:tcW w:type="dxa" w:w="3888"/>
            <w:vAlign w:val="center"/>
            <w:tcBorders>
              <w:top w:val="single" w:sz="4" w:color="D9D9D9"/>
              <w:left w:val="single" w:sz="4" w:color="D9D9D9"/>
              <w:bottom w:val="single" w:sz="4" w:color="D9D9D9"/>
              <w:right w:val="single" w:sz="4" w:color="D9D9D9"/>
            </w:tcBorders>
            <w:shd w:fill="EAF4F3"/>
          </w:tcPr>
          <w:p>
            <w:pPr>
              <w:spacing w:after="40"/>
            </w:pPr>
            <w:r>
              <w:rPr>
                <w:sz w:val="18"/>
              </w:rPr>
              <w:t>3, 4, 9, 11</w:t>
            </w:r>
          </w:p>
        </w:tc>
        <w:tc>
          <w:tcPr>
            <w:tcW w:type="dxa" w:w="3384"/>
            <w:vAlign w:val="center"/>
            <w:tcBorders>
              <w:top w:val="single" w:sz="4" w:color="D9D9D9"/>
              <w:left w:val="single" w:sz="4" w:color="D9D9D9"/>
              <w:bottom w:val="single" w:sz="4" w:color="D9D9D9"/>
              <w:right w:val="single" w:sz="4" w:color="D9D9D9"/>
            </w:tcBorders>
            <w:shd w:fill="EAF4F3"/>
          </w:tcPr>
          <w:p>
            <w:pPr>
              <w:spacing w:after="40"/>
            </w:pPr>
            <w:r>
              <w:rPr>
                <w:sz w:val="18"/>
              </w:rPr>
              <w:t>5 min 55 sec</w:t>
            </w:r>
          </w:p>
        </w:tc>
      </w:tr>
      <w:tr>
        <w:tc>
          <w:tcPr>
            <w:tcW w:type="dxa" w:w="2390"/>
            <w:vAlign w:val="center"/>
            <w:tcBorders>
              <w:top w:val="single" w:sz="4" w:color="D9D9D9"/>
              <w:left w:val="single" w:sz="4" w:color="D9D9D9"/>
              <w:bottom w:val="single" w:sz="4" w:color="D9D9D9"/>
              <w:right w:val="single" w:sz="4" w:color="D9D9D9"/>
            </w:tcBorders>
          </w:tcPr>
          <w:p>
            <w:pPr>
              <w:spacing w:after="40"/>
            </w:pPr>
            <w:r>
              <w:rPr>
                <w:sz w:val="18"/>
              </w:rPr>
              <w:t>Phan Bùi Bá Đạt</w:t>
            </w:r>
          </w:p>
        </w:tc>
        <w:tc>
          <w:tcPr>
            <w:tcW w:type="dxa" w:w="3888"/>
            <w:vAlign w:val="center"/>
            <w:tcBorders>
              <w:top w:val="single" w:sz="4" w:color="D9D9D9"/>
              <w:left w:val="single" w:sz="4" w:color="D9D9D9"/>
              <w:bottom w:val="single" w:sz="4" w:color="D9D9D9"/>
              <w:right w:val="single" w:sz="4" w:color="D9D9D9"/>
            </w:tcBorders>
          </w:tcPr>
          <w:p>
            <w:pPr>
              <w:spacing w:after="40"/>
            </w:pPr>
            <w:r>
              <w:rPr>
                <w:sz w:val="18"/>
              </w:rPr>
              <w:t>7, 10</w:t>
            </w:r>
          </w:p>
        </w:tc>
        <w:tc>
          <w:tcPr>
            <w:tcW w:type="dxa" w:w="3384"/>
            <w:vAlign w:val="center"/>
            <w:tcBorders>
              <w:top w:val="single" w:sz="4" w:color="D9D9D9"/>
              <w:left w:val="single" w:sz="4" w:color="D9D9D9"/>
              <w:bottom w:val="single" w:sz="4" w:color="D9D9D9"/>
              <w:right w:val="single" w:sz="4" w:color="D9D9D9"/>
            </w:tcBorders>
          </w:tcPr>
          <w:p>
            <w:pPr>
              <w:spacing w:after="40"/>
            </w:pPr>
            <w:r>
              <w:rPr>
                <w:sz w:val="18"/>
              </w:rPr>
              <w:t>5 min 25 sec</w:t>
            </w:r>
          </w:p>
        </w:tc>
      </w:tr>
    </w:tbl>
    <w:p>
      <w:pPr>
        <w:spacing w:after="0"/>
      </w:pPr>
    </w:p>
    <w:p>
      <w:pPr>
        <w:pStyle w:val="Heading1"/>
      </w:pPr>
      <w:r>
        <w:t>Before presenting</w:t>
      </w:r>
    </w:p>
    <w:p>
      <w:pPr>
        <w:ind w:left="259"/>
      </w:pPr>
      <w:r>
        <w:t>• Create a dedicated demo account, sign in once, and keep credentials private. Do not show a password on screen.</w:t>
      </w:r>
    </w:p>
    <w:p>
      <w:pPr>
        <w:ind w:left="259"/>
      </w:pPr>
      <w:r>
        <w:t>• Open the published site at https://sightlight1.vercel.app/ and test /hoc, /luyen-ai, /tu-dien and /nang-cap on the presentation laptop.</w:t>
      </w:r>
    </w:p>
    <w:p>
      <w:pPr>
        <w:ind w:left="259"/>
      </w:pPr>
      <w:r>
        <w:t>• Check webcam access, lighting, the chosen target sign, its teaching video and the API response. Have a second browser tab ready with the product home page.</w:t>
      </w:r>
    </w:p>
    <w:p>
      <w:pPr>
        <w:ind w:left="259"/>
      </w:pPr>
      <w:r>
        <w:t>• Do not make a real payment during the demonstration. The pricing page is sufficient for Outcome 1.</w:t>
      </w:r>
    </w:p>
    <w:p>
      <w:pPr>
        <w:ind w:left="259"/>
      </w:pPr>
      <w:r>
        <w:t>• Google Analytics 4 is a planned addition. Do not say it is already installed or report traffic figures that have not been measured.</w:t>
      </w:r>
    </w:p>
    <w:p>
      <w:pPr>
        <w:pStyle w:val="Heading1"/>
      </w:pPr>
      <w:r>
        <w:t>Short answers for likely questions</w:t>
      </w:r>
    </w:p>
    <w:tbl>
      <w:tblPr>
        <w:tblW w:type="auto" w:w="0"/>
        <w:jc w:val="center"/>
        <w:tblLayout w:type="fixed"/>
        <w:tblLook w:firstColumn="1" w:firstRow="1" w:lastColumn="0" w:lastRow="0" w:noHBand="0" w:noVBand="1" w:val="04A0"/>
      </w:tblPr>
      <w:tblGrid>
        <w:gridCol w:w="2520"/>
        <w:gridCol w:w="7128"/>
      </w:tblGrid>
      <w:tr>
        <w:tc>
          <w:tcPr>
            <w:tcW w:type="dxa" w:w="4997"/>
            <w:vAlign w:val="center"/>
            <w:shd w:fill="203148"/>
            <w:tcBorders>
              <w:top w:val="single" w:sz="4" w:color="D9D9D9"/>
              <w:left w:val="single" w:sz="4" w:color="D9D9D9"/>
              <w:bottom w:val="single" w:sz="4" w:color="D9D9D9"/>
              <w:right w:val="single" w:sz="4" w:color="D9D9D9"/>
            </w:tcBorders>
          </w:tcPr>
          <w:p>
            <w:r>
              <w:rPr>
                <w:b/>
                <w:color w:val="FFFFFF"/>
                <w:sz w:val="19"/>
              </w:rPr>
              <w:t>Question</w:t>
            </w:r>
          </w:p>
        </w:tc>
        <w:tc>
          <w:tcPr>
            <w:tcW w:type="dxa" w:w="4997"/>
            <w:vAlign w:val="center"/>
            <w:shd w:fill="203148"/>
            <w:tcBorders>
              <w:top w:val="single" w:sz="4" w:color="D9D9D9"/>
              <w:left w:val="single" w:sz="4" w:color="D9D9D9"/>
              <w:bottom w:val="single" w:sz="4" w:color="D9D9D9"/>
              <w:right w:val="single" w:sz="4" w:color="D9D9D9"/>
            </w:tcBorders>
          </w:tcPr>
          <w:p>
            <w:r>
              <w:rPr>
                <w:b/>
                <w:color w:val="FFFFFF"/>
                <w:sz w:val="19"/>
              </w:rPr>
              <w:t>Suggested answer</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sz w:val="18"/>
              </w:rPr>
              <w:t>Is the AI accurate?</w:t>
            </w:r>
          </w:p>
        </w:tc>
        <w:tc>
          <w:tcPr>
            <w:tcW w:type="dxa" w:w="7128"/>
            <w:vAlign w:val="center"/>
            <w:tcBorders>
              <w:top w:val="single" w:sz="4" w:color="D9D9D9"/>
              <w:left w:val="single" w:sz="4" w:color="D9D9D9"/>
              <w:bottom w:val="single" w:sz="4" w:color="D9D9D9"/>
              <w:right w:val="single" w:sz="4" w:color="D9D9D9"/>
            </w:tcBorders>
          </w:tcPr>
          <w:p>
            <w:pPr>
              <w:spacing w:after="40"/>
            </w:pPr>
            <w:r>
              <w:rPr>
                <w:sz w:val="18"/>
              </w:rPr>
              <w:t>We have a working recognition flow and local ONNX model files. We have not completed a real webcam accuracy study, so we do not claim a final accuracy figure today.</w:t>
            </w:r>
          </w:p>
        </w:tc>
      </w:tr>
      <w:tr>
        <w:tc>
          <w:tcPr>
            <w:tcW w:type="dxa" w:w="2520"/>
            <w:vAlign w:val="center"/>
            <w:tcBorders>
              <w:top w:val="single" w:sz="4" w:color="D9D9D9"/>
              <w:left w:val="single" w:sz="4" w:color="D9D9D9"/>
              <w:bottom w:val="single" w:sz="4" w:color="D9D9D9"/>
              <w:right w:val="single" w:sz="4" w:color="D9D9D9"/>
            </w:tcBorders>
            <w:shd w:fill="EAF4F3"/>
          </w:tcPr>
          <w:p>
            <w:pPr>
              <w:spacing w:after="40"/>
            </w:pPr>
            <w:r>
              <w:rPr>
                <w:sz w:val="18"/>
              </w:rPr>
              <w:t>Is the website public?</w:t>
            </w:r>
          </w:p>
        </w:tc>
        <w:tc>
          <w:tcPr>
            <w:tcW w:type="dxa" w:w="7128"/>
            <w:vAlign w:val="center"/>
            <w:tcBorders>
              <w:top w:val="single" w:sz="4" w:color="D9D9D9"/>
              <w:left w:val="single" w:sz="4" w:color="D9D9D9"/>
              <w:bottom w:val="single" w:sz="4" w:color="D9D9D9"/>
              <w:right w:val="single" w:sz="4" w:color="D9D9D9"/>
            </w:tcBorders>
            <w:shd w:fill="EAF4F3"/>
          </w:tcPr>
          <w:p>
            <w:pPr>
              <w:spacing w:after="40"/>
            </w:pPr>
            <w:r>
              <w:rPr>
                <w:sz w:val="18"/>
              </w:rPr>
              <w:t>Yes. The published MVP is available at sightlight1.vercel.app. Camera practice requires a signed-in account.</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sz w:val="18"/>
              </w:rPr>
              <w:t>Are the prices final?</w:t>
            </w:r>
          </w:p>
        </w:tc>
        <w:tc>
          <w:tcPr>
            <w:tcW w:type="dxa" w:w="7128"/>
            <w:vAlign w:val="center"/>
            <w:tcBorders>
              <w:top w:val="single" w:sz="4" w:color="D9D9D9"/>
              <w:left w:val="single" w:sz="4" w:color="D9D9D9"/>
              <w:bottom w:val="single" w:sz="4" w:color="D9D9D9"/>
              <w:right w:val="single" w:sz="4" w:color="D9D9D9"/>
            </w:tcBorders>
          </w:tcPr>
          <w:p>
            <w:pPr>
              <w:spacing w:after="40"/>
            </w:pPr>
            <w:r>
              <w:rPr>
                <w:sz w:val="18"/>
              </w:rPr>
              <w:t>No. They are proposed EXE201 prices represented in the current product code and will be reviewed against costs and user response.</w:t>
            </w:r>
          </w:p>
        </w:tc>
      </w:tr>
      <w:tr>
        <w:tc>
          <w:tcPr>
            <w:tcW w:type="dxa" w:w="2520"/>
            <w:vAlign w:val="center"/>
            <w:tcBorders>
              <w:top w:val="single" w:sz="4" w:color="D9D9D9"/>
              <w:left w:val="single" w:sz="4" w:color="D9D9D9"/>
              <w:bottom w:val="single" w:sz="4" w:color="D9D9D9"/>
              <w:right w:val="single" w:sz="4" w:color="D9D9D9"/>
            </w:tcBorders>
            <w:shd w:fill="EAF4F3"/>
          </w:tcPr>
          <w:p>
            <w:pPr>
              <w:spacing w:after="40"/>
            </w:pPr>
            <w:r>
              <w:rPr>
                <w:sz w:val="18"/>
              </w:rPr>
              <w:t>Is analytics installed?</w:t>
            </w:r>
          </w:p>
        </w:tc>
        <w:tc>
          <w:tcPr>
            <w:tcW w:type="dxa" w:w="7128"/>
            <w:vAlign w:val="center"/>
            <w:tcBorders>
              <w:top w:val="single" w:sz="4" w:color="D9D9D9"/>
              <w:left w:val="single" w:sz="4" w:color="D9D9D9"/>
              <w:bottom w:val="single" w:sz="4" w:color="D9D9D9"/>
              <w:right w:val="single" w:sz="4" w:color="D9D9D9"/>
            </w:tcBorders>
            <w:shd w:fill="EAF4F3"/>
          </w:tcPr>
          <w:p>
            <w:pPr>
              <w:spacing w:after="40"/>
            </w:pPr>
            <w:r>
              <w:rPr>
                <w:sz w:val="18"/>
              </w:rPr>
              <w:t>Not yet confirmed in the current frontend. GA4 instrumentation is in the W3 plan.</w:t>
            </w:r>
          </w:p>
        </w:tc>
      </w:tr>
    </w:tbl>
    <w:p>
      <w:pPr>
        <w:spacing w:after="0"/>
      </w:pPr>
    </w:p>
    <w:p>
      <w:pPr>
        <w:pStyle w:val="Heading1"/>
      </w:pPr>
      <w:r>
        <w:t>Slide 1  SignLight</w:t>
      </w:r>
    </w:p>
    <w:p>
      <w:pPr>
        <w:pStyle w:val="SlideMeta"/>
      </w:pPr>
      <w:r>
        <w:t>Speaker: Nguyễn Thế Duy    Target: 0:40</w:t>
      </w:r>
    </w:p>
    <w:p>
      <w:pPr>
        <w:pStyle w:val="StageCue"/>
      </w:pPr>
      <w:r>
        <w:t>Stage cue: Open on the title slide. Speak slowly and make eye contact.</w:t>
      </w:r>
    </w:p>
    <w:p>
      <w:r>
        <w:t>Good morning. We are the SignLight team. SignLight is a web product for learning Vietnamese Sign Language. Our core idea is simple: a learner can watch a model sign, practice in front of a camera, and receive feedback about the sign they performed.</w:t>
      </w:r>
    </w:p>
    <w:p>
      <w:r>
        <w:t>Today we will introduce our team, show the product that is already online, demonstrate the main learning flow, and explain what we will complete during the remaining seven weeks.</w:t>
      </w:r>
    </w:p>
    <w:p>
      <w:pPr>
        <w:pStyle w:val="Heading1"/>
      </w:pPr>
      <w:r>
        <w:t>Slide 2  Today’s presentation</w:t>
      </w:r>
    </w:p>
    <w:p>
      <w:pPr>
        <w:pStyle w:val="SlideMeta"/>
      </w:pPr>
      <w:r>
        <w:t>Speaker: Nguyễn Thế Duy    Target: 0:35</w:t>
      </w:r>
    </w:p>
    <w:p>
      <w:pPr>
        <w:pStyle w:val="StageCue"/>
      </w:pPr>
      <w:r>
        <w:t>Stage cue: Point briefly to the live demo block.</w:t>
      </w:r>
    </w:p>
    <w:p>
      <w:r>
        <w:t>We will keep this presentation within the 20 to 25 minute limit. The short project overview and team plan come first. Then we will spend the largest block on the product itself, especially the Camera AI function. We will finish with our development schedule and leave time for questions.</w:t>
      </w:r>
    </w:p>
    <w:p>
      <w:pPr>
        <w:pStyle w:val="Heading1"/>
      </w:pPr>
      <w:r>
        <w:t>Slide 3  The learning problem</w:t>
      </w:r>
    </w:p>
    <w:p>
      <w:pPr>
        <w:pStyle w:val="SlideMeta"/>
      </w:pPr>
      <w:r>
        <w:t>Speaker: Lê Tùng Dương    Target: 1:15</w:t>
      </w:r>
    </w:p>
    <w:p>
      <w:pPr>
        <w:pStyle w:val="StageCue"/>
      </w:pPr>
      <w:r>
        <w:t>Stage cue: Take over from Duy. Pause after the first sentence.</w:t>
      </w:r>
    </w:p>
    <w:p>
      <w:r>
        <w:t>A video can show a sign very clearly. But when someone practices alone, the video cannot tell them whether their own movement was correct. That gap matters because hand position, movement and timing are all part of the sign.</w:t>
      </w:r>
    </w:p>
    <w:p>
      <w:r>
        <w:t>Our learning flow responds to that gap. First, the learner watches a VSL model video. Next, they perform the sign in front of the camera. Finally, SignLight shows a recognized label and guidance. The purpose is to give learners a useful next step when they need to try again.</w:t>
      </w:r>
    </w:p>
    <w:p>
      <w:r>
        <w:t>My role is to develop lesson content, quizzes and teaching videos. The camera feedback becomes much more useful when the target sign and its lesson are carefully prepared.</w:t>
      </w:r>
    </w:p>
    <w:p>
      <w:pPr>
        <w:pStyle w:val="Heading1"/>
      </w:pPr>
      <w:r>
        <w:t>Slide 4  Published MVP</w:t>
      </w:r>
    </w:p>
    <w:p>
      <w:pPr>
        <w:pStyle w:val="SlideMeta"/>
      </w:pPr>
      <w:r>
        <w:t>Speaker: Lê Tùng Dương    Target: 1:05</w:t>
      </w:r>
    </w:p>
    <w:p>
      <w:pPr>
        <w:pStyle w:val="StageCue"/>
      </w:pPr>
      <w:r>
        <w:t>Stage cue: Open the website in a separate tab only if the network is stable; otherwise keep the link visible on the slide.</w:t>
      </w:r>
    </w:p>
    <w:p>
      <w:r>
        <w:t>The current web application is published at sightlight1.vercel.app. Visitors can reach the landing page, and the product contains routes for learning, dictionary search, camera practice and Premium plans.</w:t>
      </w:r>
    </w:p>
    <w:p>
      <w:r>
        <w:t>For Outcome 1, our main demonstration is the learner journey rather than a tour of every page. We will start with a lesson, move to the camera, then look up a sign in the dictionary. That sequence shows how teaching content and the AI feature work together.</w:t>
      </w:r>
    </w:p>
    <w:p>
      <w:r>
        <w:t>The product is still an MVP. Published pages do not mean that every planned lesson or every model quality target has been completed.</w:t>
      </w:r>
    </w:p>
    <w:p>
      <w:pPr>
        <w:pStyle w:val="Heading1"/>
      </w:pPr>
      <w:r>
        <w:t>Slide 5  Team roles and deliverables</w:t>
      </w:r>
    </w:p>
    <w:p>
      <w:pPr>
        <w:pStyle w:val="SlideMeta"/>
      </w:pPr>
      <w:r>
        <w:t>Speaker: Nguyễn Thế Duy    Target: 1:00</w:t>
      </w:r>
    </w:p>
    <w:p>
      <w:pPr>
        <w:pStyle w:val="StageCue"/>
      </w:pPr>
      <w:r>
        <w:t>Stage cue: Keep this factual; Hoàng and Thọ do not take a speaking turn.</w:t>
      </w:r>
    </w:p>
    <w:p>
      <w:r>
        <w:t>We have five members with distinct work areas. Dương leads the learning content, quizzes and teaching videos. Hoàng and Thọ handle finance, business planning and marketing. I develop the landing page, backend and product interface. Đạt trains the AI model and builds the camera AI function.</w:t>
      </w:r>
    </w:p>
    <w:p>
      <w:r>
        <w:t>Three of us are speaking today: Dương for the learning experience, Đạt for the AI demonstration, and me for the product, proposed plans and delivery timeline. The team slide still reflects all five contributors.</w:t>
      </w:r>
    </w:p>
    <w:p>
      <w:pPr>
        <w:pStyle w:val="Heading1"/>
      </w:pPr>
      <w:r>
        <w:t>Slide 6  Product catalog and proposed prices</w:t>
      </w:r>
    </w:p>
    <w:p>
      <w:pPr>
        <w:pStyle w:val="SlideMeta"/>
      </w:pPr>
      <w:r>
        <w:t>Speaker: Nguyễn Thế Duy    Target: 1:40</w:t>
      </w:r>
    </w:p>
    <w:p>
      <w:pPr>
        <w:pStyle w:val="StageCue"/>
      </w:pPr>
      <w:r>
        <w:t>Stage cue: Point to Free, then move from left to right across the Premium options.</w:t>
      </w:r>
    </w:p>
    <w:p>
      <w:r>
        <w:t>Our proposed catalog has a Free entry level and three Premium durations. Free lets a learner start with the first learning unit and a limited number of AI practice attempts each day. The monthly Premium plan is ninety-nine thousand đồng. Six months is four hundred and ninety-nine thousand đồng, and one year is eight hundred and ninety-nine thousand đồng.</w:t>
      </w:r>
    </w:p>
    <w:p>
      <w:r>
        <w:t>The Premium descriptions in the current product code cover the full course and unlimited AI practice. These are proposed EXE201 prices, not validated sales results. Hoàng and Thọ will test the business assumptions, costs and marketing response before we treat the price structure as final.</w:t>
      </w:r>
    </w:p>
    <w:p>
      <w:r>
        <w:t>On the live site we will show the pricing page, but we will not submit a payment during this presentation.</w:t>
      </w:r>
    </w:p>
    <w:p>
      <w:pPr>
        <w:pStyle w:val="Heading1"/>
      </w:pPr>
      <w:r>
        <w:t>Slide 7  How camera practice works</w:t>
      </w:r>
    </w:p>
    <w:p>
      <w:pPr>
        <w:pStyle w:val="SlideMeta"/>
      </w:pPr>
      <w:r>
        <w:t>Speaker: Phan Bùi Bá Đạt    Target: 1:25</w:t>
      </w:r>
    </w:p>
    <w:p>
      <w:pPr>
        <w:pStyle w:val="StageCue"/>
      </w:pPr>
      <w:r>
        <w:t>Stage cue: Use your hands to trace the four steps rather than reading every line.</w:t>
      </w:r>
    </w:p>
    <w:p>
      <w:r>
        <w:t>Here is the camera flow we have implemented. The learner watches a target sign video and records one complete movement. The browser reads the webcam frames and extracts numeric hand and body features. The recognition model can run locally in the browser through ONNX WebAssembly. The numeric features are also sent to the backend so the attempt and daily quota can be tracked.</w:t>
      </w:r>
    </w:p>
    <w:p>
      <w:r>
        <w:t>A key privacy boundary is that camera pixels stay on the learner’s device. The request contains a tensor of numbers rather than an image or video file. The current code also blocks image fields in the inference payload.</w:t>
      </w:r>
    </w:p>
    <w:p>
      <w:r>
        <w:t>We will demonstrate the interaction next. We are still measuring real webcam accuracy and checking the server model deployment, so today we will not claim a final recognition accuracy number.</w:t>
      </w:r>
    </w:p>
    <w:p>
      <w:pPr>
        <w:pStyle w:val="Heading1"/>
      </w:pPr>
      <w:r>
        <w:t>Slide 8  Live demo journey</w:t>
      </w:r>
    </w:p>
    <w:p>
      <w:pPr>
        <w:pStyle w:val="SlideMeta"/>
      </w:pPr>
      <w:r>
        <w:t>Speaker: Nguyễn Thế Duy    Target: 0:25</w:t>
      </w:r>
    </w:p>
    <w:p>
      <w:pPr>
        <w:pStyle w:val="StageCue"/>
      </w:pPr>
      <w:r>
        <w:t>Stage cue: Switch to the signed-in browser tab and hand control to Dương.</w:t>
      </w:r>
    </w:p>
    <w:p>
      <w:r>
        <w:t>Now we will use the published product. We will open a lesson, practice one sign with the camera, and finish with the dictionary and pricing page. Dương will start with the learning path.</w:t>
      </w:r>
    </w:p>
    <w:p>
      <w:pPr>
        <w:pStyle w:val="Heading1"/>
      </w:pPr>
      <w:r>
        <w:t>Slide 9  Demo lesson and learning path</w:t>
      </w:r>
    </w:p>
    <w:p>
      <w:pPr>
        <w:pStyle w:val="SlideMeta"/>
      </w:pPr>
      <w:r>
        <w:t>Speaker: Lê Tùng Dương    Target: 2:10</w:t>
      </w:r>
    </w:p>
    <w:p>
      <w:pPr>
        <w:pStyle w:val="StageCue"/>
      </w:pPr>
      <w:r>
        <w:t>Stage cue: Navigate to /hoc. Open an available lesson, play a working video, answer one question, and show progress if available.</w:t>
      </w:r>
    </w:p>
    <w:p>
      <w:r>
        <w:t>This is the learner’s course path. We choose an available lesson and open the sign video. The video gives the learner a visual model before they try to reproduce the movement.</w:t>
      </w:r>
    </w:p>
    <w:p>
      <w:r>
        <w:t>Here is one lesson question. The response is checked by the backend, and lesson progress can be saved after completion. In this demo, the important point is the sequence: see the sign, understand the task, and practice it. We are continuing to prepare lesson scripts, quizzes and teaching videos so this learning path has strong instructional content, not only working screens.</w:t>
      </w:r>
    </w:p>
    <w:p>
      <w:r>
        <w:t>I will now hand over to Đạt for the main Camera AI demonstration.</w:t>
      </w:r>
    </w:p>
    <w:p>
      <w:pPr>
        <w:pStyle w:val="Heading1"/>
      </w:pPr>
      <w:r>
        <w:t>Slide 10  Demo Camera AI</w:t>
      </w:r>
    </w:p>
    <w:p>
      <w:pPr>
        <w:pStyle w:val="SlideMeta"/>
      </w:pPr>
      <w:r>
        <w:t>Speaker: Phan Bùi Bá Đạt    Target: 4:00</w:t>
      </w:r>
    </w:p>
    <w:p>
      <w:pPr>
        <w:pStyle w:val="StageCue"/>
      </w:pPr>
      <w:r>
        <w:t>Stage cue: Navigate to /luyen-ai. Allow camera access only on the presenter’s device. Choose a target sign, play its model video, record a complete movement, then wait for the response.</w:t>
      </w:r>
    </w:p>
    <w:p>
      <w:r>
        <w:t>This is our main product demonstration. The target sign appears next to the camera view. I will watch the model video, position myself in the camera frame and perform one complete movement. The browser extracts the motion features on this device. It does not upload the camera video.</w:t>
      </w:r>
    </w:p>
    <w:p>
      <w:r>
        <w:t>I am starting the recording now. After I finish, SignLight shows the sign it recognized, a confidence value and alternative labels when available. If the target does not match, the learner can use the feedback and try again. The free tier also has a daily practice limit, which the backend tracks.</w:t>
      </w:r>
    </w:p>
    <w:p>
      <w:r>
        <w:t>Please read this result as a live product response, not as proof of overall model accuracy. Accuracy requires a separate test with multiple people and lighting conditions. We are doing that work in the next phase. The current server-side model deployment also needs validation, so any simulated server response must be identified as such.</w:t>
      </w:r>
    </w:p>
    <w:p>
      <w:pPr>
        <w:pStyle w:val="Heading2"/>
      </w:pPr>
      <w:r>
        <w:t>Camera demo fallback lines</w:t>
      </w:r>
    </w:p>
    <w:p>
      <w:r>
        <w:t>If camera permission is denied: “The browser did not grant camera access. This is a device permission issue, so I will show the practice screen and explain the recording flow without presenting a recognition result.”</w:t>
      </w:r>
    </w:p>
    <w:p>
      <w:r>
        <w:t>If the API is slow or unavailable: “The live service did not return a response in time. The learning interface and local camera flow are visible; we will not invent an AI result. We will continue with the dictionary and our validation plan.”</w:t>
      </w:r>
    </w:p>
    <w:p>
      <w:r>
        <w:t>If a stub warning appears: “This server response is marked as simulation. It demonstrates the interaction, but it is not an accuracy measurement.”</w:t>
      </w:r>
    </w:p>
    <w:p>
      <w:pPr>
        <w:pStyle w:val="Heading1"/>
      </w:pPr>
      <w:r>
        <w:t>Slide 11  Demo dictionary and upgrade path</w:t>
      </w:r>
    </w:p>
    <w:p>
      <w:pPr>
        <w:pStyle w:val="SlideMeta"/>
      </w:pPr>
      <w:r>
        <w:t>Speaker: Lê Tùng Dương    Target: 1:25</w:t>
      </w:r>
    </w:p>
    <w:p>
      <w:pPr>
        <w:pStyle w:val="StageCue"/>
      </w:pPr>
      <w:r>
        <w:t>Stage cue: Navigate to /tu-dien; search one prepared term. Then briefly show /nang-cap.</w:t>
      </w:r>
    </w:p>
    <w:p>
      <w:r>
        <w:t>After practice, the learner can search the VSL dictionary. We can enter a Vietnamese term with or without diacritics and open its sign video. This makes the dictionary useful both before a lesson and when a learner wants to review a sign afterward.</w:t>
      </w:r>
    </w:p>
    <w:p>
      <w:r>
        <w:t>The upgrade page shows the proposed Premium options that Duy introduced earlier. We will stop on the plan page. This presentation does not require a payment transaction. The important point is that the learning and practice flow has a clear entry point and a proposed way to support continued development.</w:t>
      </w:r>
    </w:p>
    <w:p>
      <w:pPr>
        <w:pStyle w:val="Heading1"/>
      </w:pPr>
      <w:r>
        <w:t>Slide 12  MVP readiness</w:t>
      </w:r>
    </w:p>
    <w:p>
      <w:pPr>
        <w:pStyle w:val="SlideMeta"/>
      </w:pPr>
      <w:r>
        <w:t>Speaker: Nguyễn Thế Duy    Target: 1:20</w:t>
      </w:r>
    </w:p>
    <w:p>
      <w:pPr>
        <w:pStyle w:val="StageCue"/>
      </w:pPr>
      <w:r>
        <w:t>Stage cue: Return from the browser to the deck. Do not rush the limitations.</w:t>
      </w:r>
    </w:p>
    <w:p>
      <w:r>
        <w:t>The site is online, and we can show the landing page, learning route, dictionary route, camera practice interface and Premium plan interface. That is the evidence we have today.</w:t>
      </w:r>
    </w:p>
    <w:p>
      <w:r>
        <w:t>Before the Outcome 1 presentation, we still need a dedicated demo account, a full camera and API rehearsal, and a real webcam evaluation. The repository also does not yet show Google Analytics 4 instrumentation. We will add it so the team can measure visits, sign-ups and important learning events. Hoàng and Thọ can then use actual website performance data in later business and marketing reports.</w:t>
      </w:r>
    </w:p>
    <w:p>
      <w:r>
        <w:t>We are separating a published MVP from a fully validated release. That keeps our demonstration credible and gives us a clear work plan.</w:t>
      </w:r>
    </w:p>
    <w:p>
      <w:pPr>
        <w:pStyle w:val="Heading1"/>
      </w:pPr>
      <w:r>
        <w:t>Slide 13  Seven-week development plan</w:t>
      </w:r>
    </w:p>
    <w:p>
      <w:pPr>
        <w:pStyle w:val="SlideMeta"/>
      </w:pPr>
      <w:r>
        <w:t>Speaker: Nguyễn Thế Duy    Target: 1:50</w:t>
      </w:r>
    </w:p>
    <w:p>
      <w:pPr>
        <w:pStyle w:val="StageCue"/>
      </w:pPr>
      <w:r>
        <w:t>Stage cue: Point to each phase in sequence: W3, W6, W8.</w:t>
      </w:r>
    </w:p>
    <w:p>
      <w:r>
        <w:t>We have divided the remaining seven weeks into three phases, matching the guideline milestones. By week three, Version 1.0 is a stable MVP: a tested demo account, reliable camera and API flow, a pass on the lesson content, and Google Analytics page and event tracking.</w:t>
      </w:r>
    </w:p>
    <w:p>
      <w:r>
        <w:t>By week six, Version 2.0 adds more learning depth. The focus is quizzes, better AI feedback, checkout quality assurance and a real webcam test across different people and lighting conditions.</w:t>
      </w:r>
    </w:p>
    <w:p>
      <w:r>
        <w:t>The final phase runs from week six to week eight. We aim to launch the fuller product publicly in week six or seven, then use the remaining time to improve content, retention and issues found in testing. The website is already online; this milestone refers to a validated product release rather than the first publication of a landing page.</w:t>
      </w:r>
    </w:p>
    <w:p>
      <w:pPr>
        <w:pStyle w:val="Heading1"/>
      </w:pPr>
      <w:r>
        <w:t>Slide 14  Function list by version</w:t>
      </w:r>
    </w:p>
    <w:p>
      <w:pPr>
        <w:pStyle w:val="SlideMeta"/>
      </w:pPr>
      <w:r>
        <w:t>Speaker: Nguyễn Thế Duy    Target: 1:20</w:t>
      </w:r>
    </w:p>
    <w:p>
      <w:pPr>
        <w:pStyle w:val="StageCue"/>
      </w:pPr>
      <w:r>
        <w:t>Stage cue: Summarize priorities; do not read every function verbatim.</w:t>
      </w:r>
    </w:p>
    <w:p>
      <w:r>
        <w:t>This function list turns the timeline into concrete scope. Version 1.0 focuses on what a learner must be able to do during the demo: sign in, follow a course, open lessons, use the dictionary and practice with the camera. We add analytics instrumentation so later decisions are based on usage data.</w:t>
      </w:r>
    </w:p>
    <w:p>
      <w:r>
        <w:t>Version 2.0 strengthens the learning loop with quizzes, improved guidance, payment testing and webcam evaluation. Version 3.0 is about release quality: content review, accessibility, privacy, stability and a final launch checklist.</w:t>
      </w:r>
    </w:p>
    <w:p>
      <w:r>
        <w:t>This order reflects urgency. We first make the existing journey dependable, then improve depth, and finally polish and validate the wider release.</w:t>
      </w:r>
    </w:p>
    <w:p>
      <w:pPr>
        <w:pStyle w:val="Heading1"/>
      </w:pPr>
      <w:r>
        <w:t>Slide 15  Closing</w:t>
      </w:r>
    </w:p>
    <w:p>
      <w:pPr>
        <w:pStyle w:val="SlideMeta"/>
      </w:pPr>
      <w:r>
        <w:t>Speaker: Nguyễn Thế Duy    Target: 0:30</w:t>
      </w:r>
    </w:p>
    <w:p>
      <w:pPr>
        <w:pStyle w:val="StageCue"/>
      </w:pPr>
      <w:r>
        <w:t>Stage cue: Pause on the live URL, then invite questions.</w:t>
      </w:r>
    </w:p>
    <w:p>
      <w:r>
        <w:t>SignLight is already available as a web MVP. Our main contribution is the path from watching a VSL sign to practicing it and seeing feedback. The next seven weeks will turn that working journey into a better tested and more complete learning product. Thank you. We welcome your questions.</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D5B68"/>
        <w:sz w:val="16"/>
      </w:rPr>
      <w:t>SignLight  |  EXE201 Outcome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rial" w:hAnsi="Arial"/>
      <w:color w:val="13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Cue">
    <w:name w:val="Stage Cue"/>
    <w:basedOn w:val="Normal"/>
    <w:pPr>
      <w:keepNext/>
      <w:spacing w:after="100"/>
    </w:pPr>
    <w:rPr>
      <w:rFonts w:ascii="Arial" w:hAnsi="Arial"/>
      <w:i/>
      <w:color w:val="08737C"/>
      <w:sz w:val="19"/>
    </w:rPr>
  </w:style>
  <w:style w:type="paragraph" w:customStyle="1" w:styleId="SlideMeta">
    <w:name w:val="Slide Meta"/>
    <w:basedOn w:val="Normal"/>
    <w:pPr>
      <w:keepNext/>
      <w:spacing w:after="100"/>
    </w:pPr>
    <w:rPr>
      <w:rFonts w:ascii="Arial" w:hAnsi="Arial"/>
      <w:b/>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